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8051B" w14:textId="6827215C" w:rsidR="009958A8" w:rsidRDefault="00DA2BC7" w:rsidP="003A53D8">
      <w:pPr>
        <w:jc w:val="center"/>
        <w:rPr>
          <w:b/>
          <w:bCs/>
          <w:sz w:val="40"/>
          <w:szCs w:val="40"/>
        </w:rPr>
      </w:pPr>
      <w:r w:rsidRPr="003A53D8">
        <w:rPr>
          <w:b/>
          <w:bCs/>
          <w:sz w:val="40"/>
          <w:szCs w:val="40"/>
        </w:rPr>
        <w:t xml:space="preserve">Jak </w:t>
      </w:r>
      <w:r w:rsidR="00E535CF" w:rsidRPr="003A53D8">
        <w:rPr>
          <w:b/>
          <w:bCs/>
          <w:sz w:val="40"/>
          <w:szCs w:val="40"/>
        </w:rPr>
        <w:t xml:space="preserve">testować </w:t>
      </w:r>
      <w:r w:rsidRPr="003A53D8">
        <w:rPr>
          <w:b/>
          <w:bCs/>
          <w:sz w:val="40"/>
          <w:szCs w:val="40"/>
        </w:rPr>
        <w:t>przeciwpożarowe detektory iskrzenia AFDD</w:t>
      </w:r>
      <w:r w:rsidR="009624C9" w:rsidRPr="003A53D8">
        <w:rPr>
          <w:b/>
          <w:bCs/>
          <w:sz w:val="40"/>
          <w:szCs w:val="40"/>
        </w:rPr>
        <w:t xml:space="preserve"> firmy Eaton</w:t>
      </w:r>
      <w:r w:rsidRPr="003A53D8">
        <w:rPr>
          <w:b/>
          <w:bCs/>
          <w:sz w:val="40"/>
          <w:szCs w:val="40"/>
        </w:rPr>
        <w:t>?</w:t>
      </w:r>
    </w:p>
    <w:p w14:paraId="5337025B" w14:textId="5BBC209A" w:rsidR="00F64E3E" w:rsidRPr="003A53D8" w:rsidRDefault="00F64E3E" w:rsidP="003A53D8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6D296F5B" wp14:editId="7BE35837">
            <wp:extent cx="5753100" cy="3019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AFE0F" w14:textId="576B317A" w:rsidR="00510863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W USA już w latach 90-tych rozpoczęto prace nad urządzeniami zabezpieczającymi do wykrywania</w:t>
      </w:r>
      <w:r w:rsidR="009624C9">
        <w:rPr>
          <w:rFonts w:cs="Calibri"/>
          <w:lang w:eastAsia="ja-JP"/>
        </w:rPr>
        <w:t xml:space="preserve"> </w:t>
      </w:r>
      <w:r>
        <w:rPr>
          <w:rFonts w:cs="Calibri"/>
          <w:lang w:eastAsia="ja-JP"/>
        </w:rPr>
        <w:t>zwarć łukowych. W Europie uznane praktyki inżynierskie dotyczące przeprowadzania prób urządzeń wykrywających zwarcia łukowe</w:t>
      </w:r>
      <w:r>
        <w:rPr>
          <w:rFonts w:cs="Calibri"/>
          <w:sz w:val="14"/>
          <w:szCs w:val="14"/>
          <w:lang w:eastAsia="ja-JP"/>
        </w:rPr>
        <w:t xml:space="preserve"> </w:t>
      </w:r>
      <w:r>
        <w:rPr>
          <w:rFonts w:cs="Calibri"/>
          <w:lang w:eastAsia="ja-JP"/>
        </w:rPr>
        <w:t>zostały opublikowane dopiero w 2014 r.</w:t>
      </w:r>
      <w:r w:rsidR="00510863">
        <w:rPr>
          <w:rFonts w:cs="Calibri"/>
          <w:lang w:eastAsia="ja-JP"/>
        </w:rPr>
        <w:t xml:space="preserve"> </w:t>
      </w:r>
    </w:p>
    <w:p w14:paraId="209CCB76" w14:textId="038CD788" w:rsidR="00510863" w:rsidRPr="003A53D8" w:rsidRDefault="0029394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t xml:space="preserve">Urządzenia wykrywające zwarcia łukowe (AFDD) </w:t>
      </w:r>
      <w:r w:rsidR="00510863" w:rsidRPr="003A53D8">
        <w:rPr>
          <w:rFonts w:cs="Calibri"/>
          <w:lang w:eastAsia="ja-JP"/>
        </w:rPr>
        <w:t>mają za zadanie</w:t>
      </w:r>
      <w:r w:rsidRPr="00510863">
        <w:rPr>
          <w:rFonts w:cs="Calibri"/>
          <w:lang w:eastAsia="ja-JP"/>
        </w:rPr>
        <w:t xml:space="preserve"> </w:t>
      </w:r>
      <w:r w:rsidR="00510863" w:rsidRPr="00510863">
        <w:rPr>
          <w:rFonts w:cs="Calibri"/>
          <w:lang w:eastAsia="ja-JP"/>
        </w:rPr>
        <w:t>ogranicza</w:t>
      </w:r>
      <w:r w:rsidR="00510863" w:rsidRPr="003A53D8">
        <w:rPr>
          <w:rFonts w:cs="Calibri"/>
          <w:lang w:eastAsia="ja-JP"/>
        </w:rPr>
        <w:t>ć:</w:t>
      </w:r>
    </w:p>
    <w:p w14:paraId="1E5ECB7C" w14:textId="4D352B9C" w:rsidR="00510863" w:rsidRPr="003A53D8" w:rsidRDefault="00293944" w:rsidP="003A53D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t>skutk</w:t>
      </w:r>
      <w:r w:rsidR="00510863" w:rsidRPr="003A53D8">
        <w:rPr>
          <w:rFonts w:cs="Calibri"/>
          <w:lang w:eastAsia="ja-JP"/>
        </w:rPr>
        <w:t>i</w:t>
      </w:r>
      <w:r w:rsidRPr="00510863">
        <w:rPr>
          <w:rFonts w:cs="Calibri"/>
          <w:lang w:eastAsia="ja-JP"/>
        </w:rPr>
        <w:t xml:space="preserve"> zwarć łukowych poprzez rozłączanie obwodów po wykryciu zwarcia łukowego</w:t>
      </w:r>
      <w:r w:rsidR="00510863" w:rsidRPr="003A53D8">
        <w:rPr>
          <w:rFonts w:cs="Calibri"/>
          <w:lang w:eastAsia="ja-JP"/>
        </w:rPr>
        <w:t>,</w:t>
      </w:r>
    </w:p>
    <w:p w14:paraId="035280B0" w14:textId="4EE16B8D" w:rsidR="00293944" w:rsidRPr="00510863" w:rsidRDefault="00510863" w:rsidP="003A53D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t>ryzyk</w:t>
      </w:r>
      <w:r w:rsidRPr="003A53D8">
        <w:rPr>
          <w:rFonts w:cs="Calibri"/>
          <w:lang w:eastAsia="ja-JP"/>
        </w:rPr>
        <w:t>o</w:t>
      </w:r>
      <w:r w:rsidRPr="00510863">
        <w:rPr>
          <w:rFonts w:cs="Calibri"/>
          <w:lang w:eastAsia="ja-JP"/>
        </w:rPr>
        <w:t xml:space="preserve"> </w:t>
      </w:r>
      <w:r w:rsidR="00293944" w:rsidRPr="00510863">
        <w:rPr>
          <w:rFonts w:cs="Calibri"/>
          <w:lang w:eastAsia="ja-JP"/>
        </w:rPr>
        <w:t>pożaru elektrycznego w kolejnych urządzeniach w instalacji.</w:t>
      </w:r>
    </w:p>
    <w:p w14:paraId="74EB6570" w14:textId="77777777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0F1FA207" w14:textId="38E7DF75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Urządzenia wykrywające zwarcia łukowe zgodnie z normą IEC 62606 są klasyfikowane wg ich konstrukcji.</w:t>
      </w:r>
    </w:p>
    <w:p w14:paraId="51BDB574" w14:textId="77777777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444E6B25" w14:textId="33EF0D39" w:rsidR="00293944" w:rsidRPr="00FC33D8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FC33D8">
        <w:rPr>
          <w:rFonts w:cs="Calibri"/>
          <w:lang w:eastAsia="ja-JP"/>
        </w:rPr>
        <w:t>Z jednej strony występują urządzenia wykrywające zwarcia łukowe, które stanowią jedną jednostkę</w:t>
      </w:r>
      <w:r w:rsidR="00DC145A" w:rsidRPr="00FC33D8">
        <w:rPr>
          <w:rFonts w:cs="Calibri"/>
          <w:lang w:eastAsia="ja-JP"/>
        </w:rPr>
        <w:t xml:space="preserve"> </w:t>
      </w:r>
      <w:r w:rsidRPr="00FC33D8">
        <w:rPr>
          <w:rFonts w:cs="Calibri"/>
          <w:lang w:eastAsia="ja-JP"/>
        </w:rPr>
        <w:t>z detektorem zwarcia łukowego oraz elementem otwierającym i są przeznaczone do połączenia</w:t>
      </w:r>
      <w:r w:rsidR="00DC145A" w:rsidRPr="00FC33D8">
        <w:rPr>
          <w:rFonts w:cs="Calibri"/>
          <w:lang w:eastAsia="ja-JP"/>
        </w:rPr>
        <w:t xml:space="preserve"> </w:t>
      </w:r>
      <w:r w:rsidRPr="00FC33D8">
        <w:rPr>
          <w:rFonts w:cs="Calibri"/>
          <w:lang w:eastAsia="ja-JP"/>
        </w:rPr>
        <w:t>szeregowego z odpowiednim zabezpieczeniem zwarciowym wskazywanym przez producenta. To</w:t>
      </w:r>
      <w:r w:rsidR="00DC145A" w:rsidRPr="00FC33D8">
        <w:rPr>
          <w:rFonts w:cs="Calibri"/>
          <w:lang w:eastAsia="ja-JP"/>
        </w:rPr>
        <w:t xml:space="preserve"> </w:t>
      </w:r>
      <w:r w:rsidRPr="00FC33D8">
        <w:rPr>
          <w:rFonts w:cs="Calibri"/>
          <w:lang w:eastAsia="ja-JP"/>
        </w:rPr>
        <w:t>zabezpieczenie musi być zgodne z jedną lub kilkoma powiązanymi normami. Taka budowa</w:t>
      </w:r>
      <w:r w:rsidR="00DC145A" w:rsidRPr="00FC33D8">
        <w:rPr>
          <w:rFonts w:cs="Calibri"/>
          <w:lang w:eastAsia="ja-JP"/>
        </w:rPr>
        <w:t xml:space="preserve"> </w:t>
      </w:r>
      <w:r w:rsidRPr="00FC33D8">
        <w:rPr>
          <w:rFonts w:cs="Calibri"/>
          <w:lang w:eastAsia="ja-JP"/>
        </w:rPr>
        <w:t>urządzenia wykrywającego zwarcia łukowe nie obejmuje żadnego zabezpieczenia.</w:t>
      </w:r>
    </w:p>
    <w:p w14:paraId="2F2D55D9" w14:textId="77777777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69F8BF71" w14:textId="3ECAA167" w:rsidR="00293944" w:rsidRPr="00BF77BF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 xml:space="preserve">Z drugiej strony </w:t>
      </w:r>
      <w:r w:rsidRPr="00BF77BF">
        <w:rPr>
          <w:rFonts w:cs="Calibri"/>
          <w:lang w:eastAsia="ja-JP"/>
        </w:rPr>
        <w:t>istnieją urządzenia wykrywające zwarcia łukowe zbudowane jako jedno urządzenie</w:t>
      </w:r>
      <w:r w:rsidR="00DC145A" w:rsidRPr="00BF77BF">
        <w:rPr>
          <w:rFonts w:cs="Calibri"/>
          <w:lang w:eastAsia="ja-JP"/>
        </w:rPr>
        <w:t xml:space="preserve"> </w:t>
      </w:r>
      <w:r w:rsidRPr="00BF77BF">
        <w:rPr>
          <w:rFonts w:cs="Calibri"/>
          <w:lang w:eastAsia="ja-JP"/>
        </w:rPr>
        <w:t>obejmujące detektor zwarcia łukowego zabudowany w zabezpieczeniu zgodnym z jedną lub kilkoma</w:t>
      </w:r>
      <w:r w:rsidR="00DC145A" w:rsidRPr="00BF77BF">
        <w:rPr>
          <w:rFonts w:cs="Calibri"/>
          <w:lang w:eastAsia="ja-JP"/>
        </w:rPr>
        <w:t xml:space="preserve"> </w:t>
      </w:r>
      <w:r w:rsidRPr="00BF77BF">
        <w:rPr>
          <w:rFonts w:cs="Calibri"/>
          <w:lang w:eastAsia="ja-JP"/>
        </w:rPr>
        <w:t>odnośnymi normami. Obejmuj</w:t>
      </w:r>
      <w:r w:rsidR="00BF77BF" w:rsidRPr="003A53D8">
        <w:rPr>
          <w:rFonts w:cs="Calibri"/>
          <w:lang w:eastAsia="ja-JP"/>
        </w:rPr>
        <w:t>ą one</w:t>
      </w:r>
      <w:r w:rsidRPr="00BF77BF">
        <w:rPr>
          <w:rFonts w:cs="Calibri"/>
          <w:lang w:eastAsia="ja-JP"/>
        </w:rPr>
        <w:t xml:space="preserve"> np. urządzenia wykrywające zwarcia łukowe, które są</w:t>
      </w:r>
      <w:r w:rsidR="00DC145A" w:rsidRPr="00BF77BF">
        <w:rPr>
          <w:rFonts w:cs="Calibri"/>
          <w:lang w:eastAsia="ja-JP"/>
        </w:rPr>
        <w:t xml:space="preserve"> </w:t>
      </w:r>
      <w:r w:rsidRPr="00BF77BF">
        <w:rPr>
          <w:rFonts w:cs="Calibri"/>
          <w:lang w:eastAsia="ja-JP"/>
        </w:rPr>
        <w:t>dostarczane przez producenta jako wyłączniki różnicowoprądowe z wbudowanym zabezpieczeniem</w:t>
      </w:r>
      <w:r w:rsidR="00DC145A" w:rsidRPr="00BF77BF">
        <w:rPr>
          <w:rFonts w:cs="Calibri"/>
          <w:lang w:eastAsia="ja-JP"/>
        </w:rPr>
        <w:t xml:space="preserve"> </w:t>
      </w:r>
      <w:r w:rsidRPr="00BF77BF">
        <w:rPr>
          <w:rFonts w:cs="Calibri"/>
          <w:lang w:eastAsia="ja-JP"/>
        </w:rPr>
        <w:t>nadprądowym ze zintegrowanym zabezpieczeniem łukowym.</w:t>
      </w:r>
    </w:p>
    <w:p w14:paraId="339409F9" w14:textId="77777777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06D5467E" w14:textId="786001DD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Ponadto występują również urządzenia wykrywające zwarcia łukowe</w:t>
      </w:r>
      <w:r w:rsidR="00DC145A">
        <w:rPr>
          <w:rFonts w:cs="Calibri"/>
          <w:lang w:eastAsia="ja-JP"/>
        </w:rPr>
        <w:t>,</w:t>
      </w:r>
      <w:r>
        <w:rPr>
          <w:rFonts w:cs="Calibri"/>
          <w:lang w:eastAsia="ja-JP"/>
        </w:rPr>
        <w:t xml:space="preserve"> składające się z zabezpieczenia</w:t>
      </w:r>
    </w:p>
    <w:p w14:paraId="335C2E13" w14:textId="7E9EBADD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łukowego oraz wskazanego zabezpieczenia, przeznaczone do montażu na miejscu. Wyłączniki</w:t>
      </w:r>
      <w:r w:rsidR="00DC145A">
        <w:rPr>
          <w:rFonts w:cs="Calibri"/>
          <w:lang w:eastAsia="ja-JP"/>
        </w:rPr>
        <w:t xml:space="preserve"> </w:t>
      </w:r>
      <w:r>
        <w:rPr>
          <w:rFonts w:cs="Calibri"/>
          <w:lang w:eastAsia="ja-JP"/>
        </w:rPr>
        <w:t>różnicowowprądowe, wyłączniki kombinowane lub wyłączniki nadprądowe mogą być stosowane jako</w:t>
      </w:r>
    </w:p>
    <w:p w14:paraId="72606F08" w14:textId="62844271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zabezpieczenia.</w:t>
      </w:r>
    </w:p>
    <w:p w14:paraId="06F5E702" w14:textId="77777777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55008BFC" w14:textId="2A73B74F" w:rsidR="00DC145A" w:rsidRDefault="00293944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W zależności od konstrukcji prąd jest rozłączany</w:t>
      </w:r>
      <w:r w:rsidR="00DC145A">
        <w:rPr>
          <w:rFonts w:cs="Calibri"/>
          <w:lang w:eastAsia="ja-JP"/>
        </w:rPr>
        <w:t xml:space="preserve"> przez:</w:t>
      </w:r>
    </w:p>
    <w:p w14:paraId="61E8FB8B" w14:textId="6546CBCF" w:rsidR="00DC145A" w:rsidRDefault="00293944" w:rsidP="00DC145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lastRenderedPageBreak/>
        <w:t>rozłącznik</w:t>
      </w:r>
      <w:r w:rsidR="00DC145A">
        <w:rPr>
          <w:rFonts w:cs="Calibri"/>
          <w:lang w:eastAsia="ja-JP"/>
        </w:rPr>
        <w:t>,</w:t>
      </w:r>
    </w:p>
    <w:p w14:paraId="643818B9" w14:textId="3CAEDEBC" w:rsidR="00DC145A" w:rsidRDefault="00293944" w:rsidP="009624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t>zabezpieczenia</w:t>
      </w:r>
      <w:r w:rsidR="00DC145A">
        <w:rPr>
          <w:rFonts w:cs="Calibri"/>
          <w:lang w:eastAsia="ja-JP"/>
        </w:rPr>
        <w:t xml:space="preserve"> </w:t>
      </w:r>
      <w:r w:rsidRPr="003A53D8">
        <w:rPr>
          <w:rFonts w:cs="Calibri"/>
          <w:lang w:eastAsia="ja-JP"/>
        </w:rPr>
        <w:t>z wbudowanym zabezpieczeniem łukowym</w:t>
      </w:r>
      <w:r w:rsidR="00DC145A">
        <w:rPr>
          <w:rFonts w:cs="Calibri"/>
          <w:lang w:eastAsia="ja-JP"/>
        </w:rPr>
        <w:t>,</w:t>
      </w:r>
    </w:p>
    <w:p w14:paraId="5BB7CF05" w14:textId="1BA39BF4" w:rsidR="00293944" w:rsidRPr="00510863" w:rsidRDefault="00293944" w:rsidP="003A53D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510863">
        <w:rPr>
          <w:rFonts w:cs="Calibri"/>
          <w:lang w:eastAsia="ja-JP"/>
        </w:rPr>
        <w:t>zabezpieczenia zespolone z zabezpieczeniem</w:t>
      </w:r>
      <w:r w:rsidR="00DC145A">
        <w:rPr>
          <w:rFonts w:cs="Calibri"/>
          <w:lang w:eastAsia="ja-JP"/>
        </w:rPr>
        <w:t xml:space="preserve"> łukowym.</w:t>
      </w:r>
    </w:p>
    <w:p w14:paraId="5F5AA76C" w14:textId="77777777" w:rsidR="00DC145A" w:rsidRDefault="00DC145A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22" w14:textId="3A0EA848" w:rsidR="005A3E32" w:rsidRDefault="005A3E3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Każde z powyższych rozwiązań musi dodatkowo posiadać zabezpieczenie zgodne z odpowiednią normą: EN 60898 w przypadku wyłączników </w:t>
      </w:r>
      <w:r w:rsidR="008110CE">
        <w:rPr>
          <w:rFonts w:cs="Calibri"/>
        </w:rPr>
        <w:t>nadprądowych</w:t>
      </w:r>
      <w:r>
        <w:rPr>
          <w:rFonts w:cs="Calibri"/>
        </w:rPr>
        <w:t>, EN 61009-1 dla wyłączników różnicowoprądowych</w:t>
      </w:r>
      <w:r w:rsidR="008110CE">
        <w:rPr>
          <w:rFonts w:cs="Calibri"/>
        </w:rPr>
        <w:t xml:space="preserve"> lub </w:t>
      </w:r>
      <w:r>
        <w:rPr>
          <w:rFonts w:cs="Calibri"/>
        </w:rPr>
        <w:t>IEC 60269 dla wkładek bezpiecznikowych.</w:t>
      </w:r>
    </w:p>
    <w:p w14:paraId="68880523" w14:textId="77777777" w:rsidR="005A3E32" w:rsidRDefault="005A3E3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24" w14:textId="7B50448F" w:rsidR="005A3E32" w:rsidRDefault="008110CE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Od 2015 r</w:t>
      </w:r>
      <w:r w:rsidR="00DC145A">
        <w:rPr>
          <w:rFonts w:cs="Calibri"/>
        </w:rPr>
        <w:t>.</w:t>
      </w:r>
      <w:r w:rsidRPr="6696F34F">
        <w:rPr>
          <w:rFonts w:cs="Calibri"/>
        </w:rPr>
        <w:t xml:space="preserve"> stosowanie urządzeń AFDD jest w Polsce zalecane, jak wskazuje </w:t>
      </w:r>
      <w:r w:rsidR="008846C0" w:rsidRPr="6696F34F">
        <w:rPr>
          <w:rFonts w:cs="Calibri"/>
        </w:rPr>
        <w:t xml:space="preserve">załącznik B </w:t>
      </w:r>
      <w:r w:rsidRPr="6696F34F">
        <w:rPr>
          <w:rFonts w:cs="Calibri"/>
        </w:rPr>
        <w:t>norm</w:t>
      </w:r>
      <w:r w:rsidR="008846C0" w:rsidRPr="6696F34F">
        <w:rPr>
          <w:rFonts w:cs="Calibri"/>
        </w:rPr>
        <w:t>y</w:t>
      </w:r>
      <w:r w:rsidRPr="6696F34F">
        <w:rPr>
          <w:rFonts w:cs="Calibri"/>
        </w:rPr>
        <w:t xml:space="preserve"> PN-HD 60364-4-42</w:t>
      </w:r>
      <w:r w:rsidR="008846C0" w:rsidRPr="6696F34F">
        <w:rPr>
          <w:rFonts w:cs="Calibri"/>
        </w:rPr>
        <w:t xml:space="preserve"> (Ochrona dla zapewnienia bezpieczeństwa – ochrona przed skutkami oddziaływania termicznego). </w:t>
      </w:r>
      <w:r w:rsidR="005A3E32" w:rsidRPr="6696F34F">
        <w:rPr>
          <w:rFonts w:cs="Calibri"/>
        </w:rPr>
        <w:t xml:space="preserve">Każde </w:t>
      </w:r>
      <w:r w:rsidR="008846C0" w:rsidRPr="6696F34F">
        <w:rPr>
          <w:rFonts w:cs="Calibri"/>
        </w:rPr>
        <w:t xml:space="preserve">urządzenie </w:t>
      </w:r>
      <w:r w:rsidR="00461785" w:rsidRPr="6696F34F">
        <w:rPr>
          <w:rFonts w:cs="Calibri"/>
        </w:rPr>
        <w:t xml:space="preserve">do wykrywania zwarć łukowych </w:t>
      </w:r>
      <w:r w:rsidR="008846C0" w:rsidRPr="6696F34F">
        <w:rPr>
          <w:rFonts w:cs="Calibri"/>
        </w:rPr>
        <w:t>musi</w:t>
      </w:r>
      <w:r w:rsidR="005A3E32" w:rsidRPr="6696F34F">
        <w:rPr>
          <w:rFonts w:cs="Calibri"/>
        </w:rPr>
        <w:t xml:space="preserve"> zostać poddane odpowiednim </w:t>
      </w:r>
      <w:r w:rsidRPr="6696F34F">
        <w:rPr>
          <w:rFonts w:cs="Calibri"/>
        </w:rPr>
        <w:t>testom</w:t>
      </w:r>
      <w:r w:rsidR="005A3E32" w:rsidRPr="6696F34F">
        <w:rPr>
          <w:rFonts w:cs="Calibri"/>
        </w:rPr>
        <w:t xml:space="preserve">, które różnią się w zależności od wariantu budowy.  </w:t>
      </w:r>
    </w:p>
    <w:p w14:paraId="209082F0" w14:textId="62FBFA77" w:rsidR="00DC145A" w:rsidRDefault="00DC145A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7C499CB" w14:textId="0C5F35D4" w:rsidR="00DC145A" w:rsidRDefault="00DC145A" w:rsidP="003A53D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 wp14:anchorId="2D1EE9CC" wp14:editId="29095394">
            <wp:extent cx="3598373" cy="4794657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88" cy="47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80526" w14:textId="5817723D" w:rsidR="0084653E" w:rsidRDefault="0084653E" w:rsidP="003A53D8">
      <w:pPr>
        <w:autoSpaceDE w:val="0"/>
        <w:autoSpaceDN w:val="0"/>
        <w:adjustRightInd w:val="0"/>
        <w:spacing w:before="120" w:after="0" w:line="240" w:lineRule="auto"/>
        <w:jc w:val="center"/>
        <w:rPr>
          <w:rFonts w:cs="Calibri"/>
        </w:rPr>
      </w:pPr>
      <w:r w:rsidRPr="003A53D8">
        <w:rPr>
          <w:rFonts w:cs="Calibri"/>
        </w:rPr>
        <w:t xml:space="preserve">Rys.1 </w:t>
      </w:r>
      <w:r w:rsidRPr="6696F34F">
        <w:rPr>
          <w:rFonts w:cs="Calibri"/>
        </w:rPr>
        <w:t xml:space="preserve">Urządzenie </w:t>
      </w:r>
      <w:r w:rsidR="00A07CB9" w:rsidRPr="6696F34F">
        <w:rPr>
          <w:rFonts w:cs="Calibri"/>
        </w:rPr>
        <w:t xml:space="preserve">EATON </w:t>
      </w:r>
      <w:r w:rsidRPr="6696F34F">
        <w:rPr>
          <w:rFonts w:cs="Calibri"/>
        </w:rPr>
        <w:t>AFDD+ podtyp 2</w:t>
      </w:r>
      <w:r w:rsidR="00AB1AA6" w:rsidRPr="6696F34F">
        <w:rPr>
          <w:rFonts w:cs="Calibri"/>
        </w:rPr>
        <w:t>,</w:t>
      </w:r>
      <w:r w:rsidRPr="6696F34F">
        <w:rPr>
          <w:rFonts w:cs="Calibri"/>
        </w:rPr>
        <w:t xml:space="preserve"> zespolone z wyłącznikiem </w:t>
      </w:r>
      <w:r w:rsidR="00E0648F" w:rsidRPr="6696F34F">
        <w:rPr>
          <w:rFonts w:cs="Calibri"/>
        </w:rPr>
        <w:t>różnicowym z członem nadprądowym</w:t>
      </w:r>
    </w:p>
    <w:p w14:paraId="16867B42" w14:textId="4033586F" w:rsidR="00293944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CD482C7" w14:textId="77777777" w:rsidR="00293944" w:rsidRPr="008846C0" w:rsidRDefault="0029394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</w:rPr>
      </w:pPr>
    </w:p>
    <w:p w14:paraId="68880528" w14:textId="7B365598" w:rsidR="008846C0" w:rsidRPr="00DA2BC7" w:rsidRDefault="008846C0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 w:rsidRPr="6696F34F">
        <w:rPr>
          <w:rFonts w:cs="Calibri"/>
          <w:b/>
          <w:bCs/>
          <w:sz w:val="28"/>
          <w:szCs w:val="28"/>
        </w:rPr>
        <w:t xml:space="preserve">Wybrane pomiary dotyczące </w:t>
      </w:r>
      <w:r w:rsidR="002745E9" w:rsidRPr="6696F34F">
        <w:rPr>
          <w:rFonts w:cs="Calibri"/>
          <w:b/>
          <w:bCs/>
          <w:sz w:val="28"/>
          <w:szCs w:val="28"/>
        </w:rPr>
        <w:t>urządzeń wykrywających zwarcia łukowe</w:t>
      </w:r>
      <w:r w:rsidRPr="6696F34F">
        <w:rPr>
          <w:rFonts w:cs="Calibri"/>
          <w:b/>
          <w:bCs/>
          <w:sz w:val="28"/>
          <w:szCs w:val="28"/>
        </w:rPr>
        <w:t>, zgodne z normą PN-HD 60364-6:2016-07E</w:t>
      </w:r>
    </w:p>
    <w:p w14:paraId="68880529" w14:textId="6D809A7B" w:rsidR="00FE6A93" w:rsidRDefault="00FE6A93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32"/>
          <w:szCs w:val="32"/>
        </w:rPr>
      </w:pPr>
    </w:p>
    <w:p w14:paraId="79B35438" w14:textId="35F92FDA" w:rsidR="007A43BE" w:rsidRDefault="007A43BE" w:rsidP="003A53D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7A43BE">
        <w:rPr>
          <w:rFonts w:cs="Calibri"/>
          <w:b/>
          <w:bCs/>
        </w:rPr>
        <w:t>Sprawdzenie warunków eksploatacyjnych</w:t>
      </w:r>
    </w:p>
    <w:p w14:paraId="33AD908B" w14:textId="248EEFE0" w:rsidR="007A43BE" w:rsidRDefault="007A43B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14:paraId="5233F974" w14:textId="2EA67DA8" w:rsidR="00510863" w:rsidRDefault="007A43B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lastRenderedPageBreak/>
        <w:t xml:space="preserve">Urządzenia wykrywające zwarcia łukowe muszą być montowane zgodnie z instrukcjami producenta na początku obwodów odbiorczych, które mają zabezpieczać. Należy również spełnić określone w normach wymagania dotyczące eksploatacji urządzeń wykrywających zwarcia łukowe. Jeśli producent nie określił żadnych wymagań, stosuje się wymagania zgodnie z </w:t>
      </w:r>
      <w:r w:rsidR="00DC145A">
        <w:rPr>
          <w:rFonts w:cs="Calibri"/>
          <w:lang w:eastAsia="ja-JP"/>
        </w:rPr>
        <w:t>poniższą t</w:t>
      </w:r>
      <w:r>
        <w:rPr>
          <w:rFonts w:cs="Calibri"/>
          <w:lang w:eastAsia="ja-JP"/>
        </w:rPr>
        <w:t>abelą</w:t>
      </w:r>
      <w:r w:rsidR="00DC145A">
        <w:rPr>
          <w:rFonts w:cs="Calibri"/>
          <w:lang w:eastAsia="ja-JP"/>
        </w:rPr>
        <w:t>:</w:t>
      </w:r>
    </w:p>
    <w:p w14:paraId="110A3917" w14:textId="503CEA1E" w:rsidR="007A43BE" w:rsidRDefault="007A43B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tbl>
      <w:tblPr>
        <w:tblStyle w:val="GridTable5Dark-Accent5"/>
        <w:tblW w:w="9683" w:type="dxa"/>
        <w:jc w:val="center"/>
        <w:tblLook w:val="04A0" w:firstRow="1" w:lastRow="0" w:firstColumn="1" w:lastColumn="0" w:noHBand="0" w:noVBand="1"/>
      </w:tblPr>
      <w:tblGrid>
        <w:gridCol w:w="2347"/>
        <w:gridCol w:w="3177"/>
        <w:gridCol w:w="2126"/>
        <w:gridCol w:w="2033"/>
      </w:tblGrid>
      <w:tr w:rsidR="007A43BE" w14:paraId="05777F7D" w14:textId="77777777" w:rsidTr="00632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0E94EEF2" w14:textId="79303885" w:rsidR="007A43BE" w:rsidRPr="008131F7" w:rsidRDefault="007A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 w:val="0"/>
                <w:sz w:val="24"/>
                <w:szCs w:val="24"/>
                <w:lang w:eastAsia="ja-JP"/>
              </w:rPr>
            </w:pPr>
            <w:r w:rsidRPr="008131F7">
              <w:rPr>
                <w:rFonts w:cs="Calibri"/>
                <w:bCs w:val="0"/>
                <w:sz w:val="24"/>
                <w:szCs w:val="24"/>
                <w:lang w:eastAsia="ja-JP"/>
              </w:rPr>
              <w:t>Czynnik</w:t>
            </w:r>
          </w:p>
        </w:tc>
        <w:tc>
          <w:tcPr>
            <w:tcW w:w="3177" w:type="dxa"/>
          </w:tcPr>
          <w:p w14:paraId="029F7DE1" w14:textId="73460E30" w:rsidR="007A43BE" w:rsidRPr="008131F7" w:rsidRDefault="007A43B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lang w:eastAsia="ja-JP"/>
              </w:rPr>
            </w:pPr>
            <w:r w:rsidRPr="008131F7">
              <w:rPr>
                <w:rFonts w:cs="Calibri"/>
                <w:bCs w:val="0"/>
                <w:sz w:val="24"/>
                <w:szCs w:val="24"/>
                <w:lang w:eastAsia="ja-JP"/>
              </w:rPr>
              <w:t>Standardowy zakres stosowania</w:t>
            </w:r>
          </w:p>
        </w:tc>
        <w:tc>
          <w:tcPr>
            <w:tcW w:w="2126" w:type="dxa"/>
          </w:tcPr>
          <w:p w14:paraId="3BACCA8D" w14:textId="029AB8A3" w:rsidR="007A43BE" w:rsidRPr="008131F7" w:rsidRDefault="007A43B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lang w:eastAsia="ja-JP"/>
              </w:rPr>
            </w:pPr>
            <w:r w:rsidRPr="008131F7">
              <w:rPr>
                <w:rFonts w:cs="Calibri"/>
                <w:bCs w:val="0"/>
                <w:sz w:val="24"/>
                <w:szCs w:val="24"/>
                <w:lang w:eastAsia="ja-JP"/>
              </w:rPr>
              <w:t>Wartość referencyjna</w:t>
            </w:r>
          </w:p>
        </w:tc>
        <w:tc>
          <w:tcPr>
            <w:tcW w:w="2033" w:type="dxa"/>
          </w:tcPr>
          <w:p w14:paraId="6EE34456" w14:textId="08BDF875" w:rsidR="007A43BE" w:rsidRPr="008131F7" w:rsidRDefault="007A43B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sz w:val="24"/>
                <w:szCs w:val="24"/>
                <w:vertAlign w:val="superscript"/>
                <w:lang w:eastAsia="ja-JP"/>
              </w:rPr>
            </w:pPr>
            <w:r w:rsidRPr="008131F7">
              <w:rPr>
                <w:rFonts w:cs="Calibri"/>
                <w:bCs w:val="0"/>
                <w:sz w:val="24"/>
                <w:szCs w:val="24"/>
                <w:lang w:eastAsia="ja-JP"/>
              </w:rPr>
              <w:t>Tolerancje dla prób</w:t>
            </w:r>
            <w:r w:rsidRPr="008131F7">
              <w:rPr>
                <w:rFonts w:cs="Calibri"/>
                <w:bCs w:val="0"/>
                <w:sz w:val="24"/>
                <w:szCs w:val="24"/>
                <w:vertAlign w:val="superscript"/>
                <w:lang w:eastAsia="ja-JP"/>
              </w:rPr>
              <w:t>f)</w:t>
            </w:r>
          </w:p>
        </w:tc>
      </w:tr>
      <w:tr w:rsidR="007A43BE" w14:paraId="55E38E6B" w14:textId="77777777" w:rsidTr="00632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5462897E" w14:textId="6D5E831B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vertAlign w:val="superscript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Temperatura otoczenia</w:t>
            </w:r>
            <w:r w:rsidRPr="007A43BE">
              <w:rPr>
                <w:rFonts w:cs="Calibri"/>
                <w:vertAlign w:val="superscript"/>
                <w:lang w:eastAsia="ja-JP"/>
              </w:rPr>
              <w:t>a)g)</w:t>
            </w:r>
          </w:p>
        </w:tc>
        <w:tc>
          <w:tcPr>
            <w:tcW w:w="3177" w:type="dxa"/>
          </w:tcPr>
          <w:p w14:paraId="6341919F" w14:textId="6B98A789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vertAlign w:val="superscript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-5</w:t>
            </w:r>
            <w:r w:rsidR="002C5713">
              <w:rPr>
                <w:rFonts w:cs="Calibri" w:hint="eastAsia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>C do +40</w:t>
            </w:r>
            <w:r w:rsidR="002C5713">
              <w:rPr>
                <w:rFonts w:cs="Calibri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>C</w:t>
            </w:r>
            <w:r w:rsidRPr="007A43BE">
              <w:rPr>
                <w:rFonts w:cs="Calibri"/>
                <w:vertAlign w:val="superscript"/>
                <w:lang w:eastAsia="ja-JP"/>
              </w:rPr>
              <w:t>b)</w:t>
            </w:r>
          </w:p>
        </w:tc>
        <w:tc>
          <w:tcPr>
            <w:tcW w:w="2126" w:type="dxa"/>
          </w:tcPr>
          <w:p w14:paraId="657C5B59" w14:textId="5A601513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20</w:t>
            </w:r>
            <w:r w:rsidR="002C5713">
              <w:rPr>
                <w:rFonts w:cs="Calibri" w:hint="eastAsia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>C</w:t>
            </w:r>
          </w:p>
        </w:tc>
        <w:tc>
          <w:tcPr>
            <w:tcW w:w="2033" w:type="dxa"/>
          </w:tcPr>
          <w:p w14:paraId="6EC95652" w14:textId="33155FBB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ascii="Symbol" w:hAnsi="Symbol" w:cs="Symbol"/>
                <w:lang w:eastAsia="ja-JP"/>
              </w:rPr>
              <w:t></w:t>
            </w:r>
            <w:r w:rsidRPr="007A43BE">
              <w:rPr>
                <w:rFonts w:ascii="Symbol" w:hAnsi="Symbol" w:cs="Symbol"/>
                <w:lang w:eastAsia="ja-JP"/>
              </w:rPr>
              <w:t></w:t>
            </w:r>
            <w:r w:rsidRPr="007A43BE">
              <w:rPr>
                <w:rFonts w:cs="Calibri"/>
                <w:lang w:eastAsia="ja-JP"/>
              </w:rPr>
              <w:t>5</w:t>
            </w:r>
            <w:r w:rsidR="002C5713">
              <w:rPr>
                <w:rFonts w:cs="Calibri" w:hint="eastAsia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>C</w:t>
            </w:r>
          </w:p>
        </w:tc>
      </w:tr>
      <w:tr w:rsidR="007A43BE" w14:paraId="6359D34E" w14:textId="77777777" w:rsidTr="00632D29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15DB8C92" w14:textId="11032F4C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Wysokość</w:t>
            </w:r>
          </w:p>
        </w:tc>
        <w:tc>
          <w:tcPr>
            <w:tcW w:w="3177" w:type="dxa"/>
          </w:tcPr>
          <w:p w14:paraId="22AC6D85" w14:textId="7B2BB929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Nieprzekraczająca 2000 m</w:t>
            </w:r>
          </w:p>
        </w:tc>
        <w:tc>
          <w:tcPr>
            <w:tcW w:w="2126" w:type="dxa"/>
          </w:tcPr>
          <w:p w14:paraId="4BF24ECC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</w:p>
        </w:tc>
        <w:tc>
          <w:tcPr>
            <w:tcW w:w="2033" w:type="dxa"/>
          </w:tcPr>
          <w:p w14:paraId="29C5CCE4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</w:p>
        </w:tc>
      </w:tr>
      <w:tr w:rsidR="007A43BE" w14:paraId="0E9352FE" w14:textId="77777777" w:rsidTr="00632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2E5E9151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Wilgotność względna</w:t>
            </w:r>
          </w:p>
          <w:p w14:paraId="080C5286" w14:textId="56065D01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Maksymalna wartość 40</w:t>
            </w:r>
            <w:r w:rsidR="002C5713">
              <w:rPr>
                <w:rFonts w:cs="Calibri" w:hint="eastAsia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>C</w:t>
            </w:r>
          </w:p>
        </w:tc>
        <w:tc>
          <w:tcPr>
            <w:tcW w:w="3177" w:type="dxa"/>
          </w:tcPr>
          <w:p w14:paraId="5BC68378" w14:textId="5E57C194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vertAlign w:val="superscript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50%</w:t>
            </w:r>
            <w:r w:rsidRPr="007A43BE">
              <w:rPr>
                <w:rFonts w:cs="Calibri"/>
                <w:vertAlign w:val="superscript"/>
                <w:lang w:eastAsia="ja-JP"/>
              </w:rPr>
              <w:t>c)</w:t>
            </w:r>
          </w:p>
        </w:tc>
        <w:tc>
          <w:tcPr>
            <w:tcW w:w="2126" w:type="dxa"/>
          </w:tcPr>
          <w:p w14:paraId="69AE738C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</w:p>
        </w:tc>
        <w:tc>
          <w:tcPr>
            <w:tcW w:w="2033" w:type="dxa"/>
          </w:tcPr>
          <w:p w14:paraId="6493C3B5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</w:p>
        </w:tc>
      </w:tr>
      <w:tr w:rsidR="007A43BE" w14:paraId="64E3B66F" w14:textId="77777777" w:rsidTr="00632D29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44E3856F" w14:textId="08619C6B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Zewnętrzne pole magnetyczne</w:t>
            </w:r>
          </w:p>
        </w:tc>
        <w:tc>
          <w:tcPr>
            <w:tcW w:w="3177" w:type="dxa"/>
          </w:tcPr>
          <w:p w14:paraId="6782BEC6" w14:textId="474F74BE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Nieprzekraczające 5-krotnej wartości</w:t>
            </w:r>
            <w:r w:rsidR="00FE5D0F">
              <w:rPr>
                <w:rFonts w:cs="Calibri"/>
                <w:lang w:eastAsia="ja-JP"/>
              </w:rPr>
              <w:t xml:space="preserve"> </w:t>
            </w:r>
            <w:r w:rsidRPr="007A43BE">
              <w:rPr>
                <w:rFonts w:cs="Calibri"/>
                <w:lang w:eastAsia="ja-JP"/>
              </w:rPr>
              <w:t>ziemskiego pola magnetycznego w żadnym</w:t>
            </w:r>
            <w:r w:rsidR="008131F7">
              <w:rPr>
                <w:rFonts w:cs="Calibri"/>
                <w:lang w:eastAsia="ja-JP"/>
              </w:rPr>
              <w:t xml:space="preserve"> </w:t>
            </w:r>
            <w:r w:rsidRPr="007A43BE">
              <w:rPr>
                <w:rFonts w:cs="Calibri"/>
                <w:lang w:eastAsia="ja-JP"/>
              </w:rPr>
              <w:t>kierunku</w:t>
            </w:r>
          </w:p>
        </w:tc>
        <w:tc>
          <w:tcPr>
            <w:tcW w:w="2126" w:type="dxa"/>
          </w:tcPr>
          <w:p w14:paraId="1DDDAEC3" w14:textId="4D2AC18F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 xml:space="preserve">Pole magnetyczne </w:t>
            </w:r>
            <w:r w:rsidR="003B0017">
              <w:rPr>
                <w:rFonts w:cs="Calibri"/>
                <w:lang w:eastAsia="ja-JP"/>
              </w:rPr>
              <w:t>z</w:t>
            </w:r>
            <w:r w:rsidR="003B0017" w:rsidRPr="007A43BE">
              <w:rPr>
                <w:rFonts w:cs="Calibri"/>
                <w:lang w:eastAsia="ja-JP"/>
              </w:rPr>
              <w:t>iemi</w:t>
            </w:r>
          </w:p>
        </w:tc>
        <w:tc>
          <w:tcPr>
            <w:tcW w:w="2033" w:type="dxa"/>
          </w:tcPr>
          <w:p w14:paraId="5C8639D7" w14:textId="137062F1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d)</w:t>
            </w:r>
          </w:p>
        </w:tc>
      </w:tr>
      <w:tr w:rsidR="007A43BE" w14:paraId="30A842F3" w14:textId="77777777" w:rsidTr="00632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0EDAB750" w14:textId="14751C92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Pozycja</w:t>
            </w:r>
          </w:p>
        </w:tc>
        <w:tc>
          <w:tcPr>
            <w:tcW w:w="3177" w:type="dxa"/>
          </w:tcPr>
          <w:p w14:paraId="77B73C9E" w14:textId="48101C8A" w:rsidR="007A43BE" w:rsidRPr="008131F7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Zgodnie z informacją producenta</w:t>
            </w:r>
            <w:r w:rsidR="008131F7">
              <w:rPr>
                <w:rFonts w:cs="Calibri"/>
                <w:lang w:eastAsia="ja-JP"/>
              </w:rPr>
              <w:t xml:space="preserve"> </w:t>
            </w:r>
            <w:r w:rsidRPr="007A43BE">
              <w:rPr>
                <w:rFonts w:cs="Calibri"/>
                <w:lang w:eastAsia="ja-JP"/>
              </w:rPr>
              <w:t>z odchyleniem o 2 w ka</w:t>
            </w:r>
            <w:r w:rsidRPr="007A43BE">
              <w:rPr>
                <w:rFonts w:cs="Calibri" w:hint="eastAsia"/>
                <w:lang w:eastAsia="ja-JP"/>
              </w:rPr>
              <w:t>ż</w:t>
            </w:r>
            <w:r w:rsidRPr="007A43BE">
              <w:rPr>
                <w:rFonts w:cs="Calibri"/>
                <w:lang w:eastAsia="ja-JP"/>
              </w:rPr>
              <w:t>dym kierunku</w:t>
            </w:r>
            <w:r w:rsidRPr="007A43BE">
              <w:rPr>
                <w:rFonts w:cs="Calibri"/>
                <w:vertAlign w:val="superscript"/>
                <w:lang w:eastAsia="ja-JP"/>
              </w:rPr>
              <w:t>e)</w:t>
            </w:r>
          </w:p>
        </w:tc>
        <w:tc>
          <w:tcPr>
            <w:tcW w:w="2126" w:type="dxa"/>
          </w:tcPr>
          <w:p w14:paraId="58669298" w14:textId="7777777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Zgodnie z informacją</w:t>
            </w:r>
          </w:p>
          <w:p w14:paraId="4B9D8151" w14:textId="7212A37D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producenta</w:t>
            </w:r>
          </w:p>
        </w:tc>
        <w:tc>
          <w:tcPr>
            <w:tcW w:w="2033" w:type="dxa"/>
          </w:tcPr>
          <w:p w14:paraId="7476ED72" w14:textId="7C506EC0" w:rsidR="007A43BE" w:rsidRPr="007A43BE" w:rsidRDefault="007A43BE" w:rsidP="00FE5D0F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2</w:t>
            </w:r>
            <w:r w:rsidR="003B0017">
              <w:rPr>
                <w:rFonts w:cs="Calibri" w:hint="eastAsia"/>
                <w:vertAlign w:val="superscript"/>
                <w:lang w:eastAsia="ja-JP"/>
              </w:rPr>
              <w:t>O</w:t>
            </w:r>
            <w:r w:rsidRPr="007A43BE">
              <w:rPr>
                <w:rFonts w:cs="Calibri"/>
                <w:lang w:eastAsia="ja-JP"/>
              </w:rPr>
              <w:t xml:space="preserve"> w ka</w:t>
            </w:r>
            <w:r w:rsidRPr="007A43BE">
              <w:rPr>
                <w:rFonts w:cs="Calibri" w:hint="eastAsia"/>
                <w:lang w:eastAsia="ja-JP"/>
              </w:rPr>
              <w:t>ż</w:t>
            </w:r>
            <w:r w:rsidRPr="007A43BE">
              <w:rPr>
                <w:rFonts w:cs="Calibri"/>
                <w:lang w:eastAsia="ja-JP"/>
              </w:rPr>
              <w:t>dym kierunku</w:t>
            </w:r>
          </w:p>
        </w:tc>
      </w:tr>
      <w:tr w:rsidR="007A43BE" w14:paraId="3BC140A4" w14:textId="77777777" w:rsidTr="00632D2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421D2385" w14:textId="13C2176F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Częstotliwość</w:t>
            </w:r>
          </w:p>
        </w:tc>
        <w:tc>
          <w:tcPr>
            <w:tcW w:w="3177" w:type="dxa"/>
          </w:tcPr>
          <w:p w14:paraId="72E87B7B" w14:textId="358F0E63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vertAlign w:val="superscript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 xml:space="preserve">Wartość referencyjna </w:t>
            </w:r>
            <w:r w:rsidRPr="007A43BE">
              <w:rPr>
                <w:rFonts w:ascii="Symbol" w:hAnsi="Symbol" w:cs="Symbol"/>
                <w:lang w:eastAsia="ja-JP"/>
              </w:rPr>
              <w:t></w:t>
            </w:r>
            <w:r w:rsidRPr="007A43BE">
              <w:rPr>
                <w:rFonts w:ascii="Symbol" w:hAnsi="Symbol" w:cs="Symbol"/>
                <w:lang w:eastAsia="ja-JP"/>
              </w:rPr>
              <w:t></w:t>
            </w:r>
            <w:r w:rsidRPr="007A43BE">
              <w:rPr>
                <w:rFonts w:cs="Calibri"/>
                <w:lang w:eastAsia="ja-JP"/>
              </w:rPr>
              <w:t>5%</w:t>
            </w:r>
            <w:r w:rsidRPr="007A43BE">
              <w:rPr>
                <w:rFonts w:cs="Calibri"/>
                <w:vertAlign w:val="superscript"/>
                <w:lang w:eastAsia="ja-JP"/>
              </w:rPr>
              <w:t>f)</w:t>
            </w:r>
            <w:r w:rsidR="00510863">
              <w:rPr>
                <w:rFonts w:cs="Calibri"/>
                <w:vertAlign w:val="superscript"/>
                <w:lang w:eastAsia="ja-JP"/>
              </w:rPr>
              <w:t xml:space="preserve"> </w:t>
            </w:r>
          </w:p>
        </w:tc>
        <w:tc>
          <w:tcPr>
            <w:tcW w:w="2126" w:type="dxa"/>
          </w:tcPr>
          <w:p w14:paraId="5BD6198A" w14:textId="71C14B18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Wartość znamionowa</w:t>
            </w:r>
          </w:p>
        </w:tc>
        <w:tc>
          <w:tcPr>
            <w:tcW w:w="2033" w:type="dxa"/>
          </w:tcPr>
          <w:p w14:paraId="3F9EA6B6" w14:textId="17C3B02A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ascii="Symbol" w:hAnsi="Symbol" w:cs="Symbol"/>
                <w:lang w:eastAsia="ja-JP"/>
              </w:rPr>
              <w:t></w:t>
            </w:r>
            <w:r w:rsidRPr="007A43BE">
              <w:rPr>
                <w:rFonts w:ascii="Symbol" w:hAnsi="Symbol" w:cs="Symbol"/>
                <w:lang w:eastAsia="ja-JP"/>
              </w:rPr>
              <w:t></w:t>
            </w:r>
            <w:r w:rsidRPr="007A43BE">
              <w:rPr>
                <w:rFonts w:cs="Calibri"/>
                <w:lang w:eastAsia="ja-JP"/>
              </w:rPr>
              <w:t>2%</w:t>
            </w:r>
          </w:p>
        </w:tc>
      </w:tr>
      <w:tr w:rsidR="007A43BE" w14:paraId="4EDF536B" w14:textId="77777777" w:rsidTr="00632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</w:tcPr>
          <w:p w14:paraId="7FD9B4E8" w14:textId="332BF6B1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Zniekształcenie fali sinusoidalnej</w:t>
            </w:r>
          </w:p>
        </w:tc>
        <w:tc>
          <w:tcPr>
            <w:tcW w:w="3177" w:type="dxa"/>
          </w:tcPr>
          <w:p w14:paraId="5DFE269C" w14:textId="704A5C7A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Nie więcej niż 5%</w:t>
            </w:r>
            <w:r w:rsidR="00510863">
              <w:rPr>
                <w:rFonts w:cs="Calibri"/>
                <w:lang w:eastAsia="ja-JP"/>
              </w:rPr>
              <w:t xml:space="preserve"> </w:t>
            </w:r>
          </w:p>
        </w:tc>
        <w:tc>
          <w:tcPr>
            <w:tcW w:w="2126" w:type="dxa"/>
          </w:tcPr>
          <w:p w14:paraId="7A1C1219" w14:textId="65BD81BE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Zero</w:t>
            </w:r>
          </w:p>
        </w:tc>
        <w:tc>
          <w:tcPr>
            <w:tcW w:w="2033" w:type="dxa"/>
          </w:tcPr>
          <w:p w14:paraId="21EF4AB6" w14:textId="4B981237" w:rsidR="007A43BE" w:rsidRPr="007A43BE" w:rsidRDefault="007A43BE" w:rsidP="003A53D8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eastAsia="ja-JP"/>
              </w:rPr>
            </w:pPr>
            <w:r w:rsidRPr="007A43BE">
              <w:rPr>
                <w:rFonts w:cs="Calibri"/>
                <w:lang w:eastAsia="ja-JP"/>
              </w:rPr>
              <w:t>5%</w:t>
            </w:r>
          </w:p>
        </w:tc>
      </w:tr>
    </w:tbl>
    <w:p w14:paraId="4BEE54AB" w14:textId="34B5B9DB" w:rsidR="007A43BE" w:rsidRPr="008B7678" w:rsidRDefault="008B767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>
        <w:rPr>
          <w:rFonts w:cs="Calibri"/>
          <w:lang w:eastAsia="ja-JP"/>
        </w:rPr>
        <w:t>Tabela 1</w:t>
      </w:r>
      <w:r w:rsidR="00DC145A">
        <w:rPr>
          <w:rFonts w:cs="Calibri"/>
          <w:lang w:eastAsia="ja-JP"/>
        </w:rPr>
        <w:t>.</w:t>
      </w:r>
      <w:r>
        <w:rPr>
          <w:rFonts w:cs="Calibri"/>
          <w:lang w:eastAsia="ja-JP"/>
        </w:rPr>
        <w:t xml:space="preserve"> </w:t>
      </w:r>
      <w:r w:rsidRPr="008B7678">
        <w:rPr>
          <w:rFonts w:cs="Calibri"/>
          <w:lang w:eastAsia="ja-JP"/>
        </w:rPr>
        <w:t>Urządzenie wykrywające zwarcia łukowe; standardowe warunki eksploatacyjne zgodnie z normą EN 62606:2013</w:t>
      </w:r>
    </w:p>
    <w:p w14:paraId="0615416C" w14:textId="77777777" w:rsidR="008B7678" w:rsidRDefault="008B767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0E0B5F55" w14:textId="276391AC" w:rsidR="007A43BE" w:rsidRPr="007A43BE" w:rsidRDefault="007A43B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lang w:eastAsia="ja-JP"/>
        </w:rPr>
      </w:pPr>
      <w:r w:rsidRPr="007A43BE">
        <w:rPr>
          <w:rFonts w:cs="Calibri"/>
          <w:b/>
          <w:lang w:eastAsia="ja-JP"/>
        </w:rPr>
        <w:t>Opis:</w:t>
      </w:r>
    </w:p>
    <w:p w14:paraId="3A1CDBC5" w14:textId="53A38E62" w:rsidR="007A43BE" w:rsidRPr="003A53D8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Maksymalna wartość średniej temperatury dziennej wynosi 35</w:t>
      </w:r>
      <w:r w:rsidR="003B0017">
        <w:rPr>
          <w:rFonts w:cs="Calibri" w:hint="eastAsia"/>
          <w:vertAlign w:val="superscript"/>
          <w:lang w:eastAsia="ja-JP"/>
        </w:rPr>
        <w:t>O</w:t>
      </w:r>
      <w:r w:rsidRPr="003A53D8">
        <w:rPr>
          <w:rFonts w:cs="Calibri"/>
          <w:lang w:eastAsia="ja-JP"/>
        </w:rPr>
        <w:t>C.</w:t>
      </w:r>
    </w:p>
    <w:p w14:paraId="14C7166A" w14:textId="449A2B94" w:rsidR="007A43BE" w:rsidRPr="00510863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Warto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ci spoza zakresu s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dopuszczalne, je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eli panuj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bardziej surowe warunki klimatyczne, do uzgodnienia pomi</w:t>
      </w:r>
      <w:r w:rsidRPr="003A53D8">
        <w:rPr>
          <w:rFonts w:cs="Calibri" w:hint="eastAsia"/>
          <w:lang w:eastAsia="ja-JP"/>
        </w:rPr>
        <w:t>ę</w:t>
      </w:r>
      <w:r w:rsidRPr="003A53D8">
        <w:rPr>
          <w:rFonts w:cs="Calibri"/>
          <w:lang w:eastAsia="ja-JP"/>
        </w:rPr>
        <w:t>dzy producentem</w:t>
      </w:r>
      <w:r w:rsidR="008B7678" w:rsidRPr="003A53D8">
        <w:rPr>
          <w:rFonts w:cs="Calibri"/>
          <w:lang w:eastAsia="ja-JP"/>
        </w:rPr>
        <w:t xml:space="preserve"> </w:t>
      </w:r>
      <w:r w:rsidRPr="003A53D8">
        <w:rPr>
          <w:rFonts w:cs="Calibri"/>
          <w:lang w:eastAsia="ja-JP"/>
        </w:rPr>
        <w:t>a u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ytkownikiem</w:t>
      </w:r>
      <w:r w:rsidR="003B0017">
        <w:rPr>
          <w:rFonts w:cs="Calibri"/>
          <w:lang w:eastAsia="ja-JP"/>
        </w:rPr>
        <w:t>.</w:t>
      </w:r>
    </w:p>
    <w:p w14:paraId="34B3AFA2" w14:textId="6EEBABE2" w:rsidR="007A43BE" w:rsidRPr="003A53D8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W przypadku ni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szej temperatury dopuszczalne s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wy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sze warto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ci wilgotno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ci wzgl</w:t>
      </w:r>
      <w:r w:rsidRPr="003A53D8">
        <w:rPr>
          <w:rFonts w:cs="Calibri" w:hint="eastAsia"/>
          <w:lang w:eastAsia="ja-JP"/>
        </w:rPr>
        <w:t>ę</w:t>
      </w:r>
      <w:r w:rsidRPr="003A53D8">
        <w:rPr>
          <w:rFonts w:cs="Calibri"/>
          <w:lang w:eastAsia="ja-JP"/>
        </w:rPr>
        <w:t>dnej (np. 90% przy 20</w:t>
      </w:r>
      <w:r w:rsidR="003B0017">
        <w:rPr>
          <w:rFonts w:cs="Calibri" w:hint="eastAsia"/>
          <w:vertAlign w:val="superscript"/>
          <w:lang w:eastAsia="ja-JP"/>
        </w:rPr>
        <w:t>O</w:t>
      </w:r>
      <w:r w:rsidRPr="003A53D8">
        <w:rPr>
          <w:rFonts w:cs="Calibri"/>
          <w:lang w:eastAsia="ja-JP"/>
        </w:rPr>
        <w:t>C).</w:t>
      </w:r>
    </w:p>
    <w:p w14:paraId="15BE9A9C" w14:textId="622DE1A7" w:rsidR="007A43BE" w:rsidRPr="003A53D8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Dodatkowe wymagania mog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si</w:t>
      </w:r>
      <w:r w:rsidRPr="003A53D8">
        <w:rPr>
          <w:rFonts w:cs="Calibri" w:hint="eastAsia"/>
          <w:lang w:eastAsia="ja-JP"/>
        </w:rPr>
        <w:t>ę</w:t>
      </w:r>
      <w:r w:rsidRPr="003A53D8">
        <w:rPr>
          <w:rFonts w:cs="Calibri"/>
          <w:lang w:eastAsia="ja-JP"/>
        </w:rPr>
        <w:t xml:space="preserve"> pojawi</w:t>
      </w:r>
      <w:r w:rsidRPr="003A53D8">
        <w:rPr>
          <w:rFonts w:cs="Calibri" w:hint="eastAsia"/>
          <w:lang w:eastAsia="ja-JP"/>
        </w:rPr>
        <w:t>ć</w:t>
      </w:r>
      <w:r w:rsidRPr="003A53D8">
        <w:rPr>
          <w:rFonts w:cs="Calibri"/>
          <w:lang w:eastAsia="ja-JP"/>
        </w:rPr>
        <w:t>, je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li urz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>dzenie wykrywaj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ce zwarcie 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ukowe jest montowane w pobli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u silnego pola</w:t>
      </w:r>
      <w:r w:rsidR="008B7678" w:rsidRPr="003A53D8">
        <w:rPr>
          <w:rFonts w:cs="Calibri"/>
          <w:lang w:eastAsia="ja-JP"/>
        </w:rPr>
        <w:t xml:space="preserve"> </w:t>
      </w:r>
      <w:r w:rsidRPr="003A53D8">
        <w:rPr>
          <w:rFonts w:cs="Calibri"/>
          <w:lang w:eastAsia="ja-JP"/>
        </w:rPr>
        <w:t>magnetycznego.</w:t>
      </w:r>
    </w:p>
    <w:p w14:paraId="4C3E22EB" w14:textId="1536BAE2" w:rsidR="007A43BE" w:rsidRPr="003A53D8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Podczas monta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u urz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>dzenia nale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y unika</w:t>
      </w:r>
      <w:r w:rsidRPr="003A53D8">
        <w:rPr>
          <w:rFonts w:cs="Calibri" w:hint="eastAsia"/>
          <w:lang w:eastAsia="ja-JP"/>
        </w:rPr>
        <w:t>ć</w:t>
      </w:r>
      <w:r w:rsidRPr="003A53D8">
        <w:rPr>
          <w:rFonts w:cs="Calibri"/>
          <w:lang w:eastAsia="ja-JP"/>
        </w:rPr>
        <w:t xml:space="preserve"> wszelkich odkszta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ce</w:t>
      </w:r>
      <w:r w:rsidRPr="003A53D8">
        <w:rPr>
          <w:rFonts w:cs="Calibri" w:hint="eastAsia"/>
          <w:lang w:eastAsia="ja-JP"/>
        </w:rPr>
        <w:t>ń</w:t>
      </w:r>
      <w:r w:rsidRPr="003A53D8">
        <w:rPr>
          <w:rFonts w:cs="Calibri"/>
          <w:lang w:eastAsia="ja-JP"/>
        </w:rPr>
        <w:t>, kt</w:t>
      </w:r>
      <w:r w:rsidR="008B7678" w:rsidRPr="003A53D8">
        <w:rPr>
          <w:rFonts w:cs="Calibri"/>
          <w:lang w:eastAsia="ja-JP"/>
        </w:rPr>
        <w:t>ó</w:t>
      </w:r>
      <w:r w:rsidRPr="003A53D8">
        <w:rPr>
          <w:rFonts w:cs="Calibri"/>
          <w:lang w:eastAsia="ja-JP"/>
        </w:rPr>
        <w:t>re mog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yby mie</w:t>
      </w:r>
      <w:r w:rsidRPr="003A53D8">
        <w:rPr>
          <w:rFonts w:cs="Calibri" w:hint="eastAsia"/>
          <w:lang w:eastAsia="ja-JP"/>
        </w:rPr>
        <w:t>ć</w:t>
      </w:r>
      <w:r w:rsidRPr="003A53D8">
        <w:rPr>
          <w:rFonts w:cs="Calibri"/>
          <w:lang w:eastAsia="ja-JP"/>
        </w:rPr>
        <w:t xml:space="preserve"> wp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yw na jego w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a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ciwe dzia</w:t>
      </w:r>
      <w:r w:rsidRPr="003A53D8">
        <w:rPr>
          <w:rFonts w:cs="Calibri" w:hint="eastAsia"/>
          <w:lang w:eastAsia="ja-JP"/>
        </w:rPr>
        <w:t>ł</w:t>
      </w:r>
      <w:r w:rsidRPr="003A53D8">
        <w:rPr>
          <w:rFonts w:cs="Calibri"/>
          <w:lang w:eastAsia="ja-JP"/>
        </w:rPr>
        <w:t>anie.</w:t>
      </w:r>
    </w:p>
    <w:p w14:paraId="06CE7FD2" w14:textId="6FAC2333" w:rsidR="007A43BE" w:rsidRPr="003A53D8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Dopuszczalne s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podane odst</w:t>
      </w:r>
      <w:r w:rsidRPr="003A53D8">
        <w:rPr>
          <w:rFonts w:cs="Calibri" w:hint="eastAsia"/>
          <w:lang w:eastAsia="ja-JP"/>
        </w:rPr>
        <w:t>ę</w:t>
      </w:r>
      <w:r w:rsidRPr="003A53D8">
        <w:rPr>
          <w:rFonts w:cs="Calibri"/>
          <w:lang w:eastAsia="ja-JP"/>
        </w:rPr>
        <w:t xml:space="preserve">pstwa, chyba 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e producent okre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li inaczej.</w:t>
      </w:r>
    </w:p>
    <w:p w14:paraId="1B3FE565" w14:textId="7BA7D871" w:rsidR="008B7678" w:rsidRPr="00510863" w:rsidRDefault="007A43BE" w:rsidP="003A53D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  <w:r w:rsidRPr="003A53D8">
        <w:rPr>
          <w:rFonts w:cs="Calibri"/>
          <w:lang w:eastAsia="ja-JP"/>
        </w:rPr>
        <w:t>Podczas przechowywania oraz transportu dopuszczalne graniczne warto</w:t>
      </w:r>
      <w:r w:rsidRPr="003A53D8">
        <w:rPr>
          <w:rFonts w:cs="Calibri" w:hint="eastAsia"/>
          <w:lang w:eastAsia="ja-JP"/>
        </w:rPr>
        <w:t>ś</w:t>
      </w:r>
      <w:r w:rsidRPr="003A53D8">
        <w:rPr>
          <w:rFonts w:cs="Calibri"/>
          <w:lang w:eastAsia="ja-JP"/>
        </w:rPr>
        <w:t>ci temperatury wynosz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 xml:space="preserve"> −20</w:t>
      </w:r>
      <w:r w:rsidR="003B0017">
        <w:rPr>
          <w:rFonts w:cs="Calibri" w:hint="eastAsia"/>
          <w:vertAlign w:val="superscript"/>
          <w:lang w:eastAsia="ja-JP"/>
        </w:rPr>
        <w:t>O</w:t>
      </w:r>
      <w:r w:rsidRPr="003A53D8">
        <w:rPr>
          <w:rFonts w:cs="Calibri"/>
          <w:lang w:eastAsia="ja-JP"/>
        </w:rPr>
        <w:t>C oraz +60</w:t>
      </w:r>
      <w:r w:rsidR="003B0017">
        <w:rPr>
          <w:rFonts w:cs="Calibri" w:hint="eastAsia"/>
          <w:vertAlign w:val="superscript"/>
          <w:lang w:eastAsia="ja-JP"/>
        </w:rPr>
        <w:t>O</w:t>
      </w:r>
      <w:r w:rsidRPr="003A53D8">
        <w:rPr>
          <w:rFonts w:cs="Calibri"/>
          <w:lang w:eastAsia="ja-JP"/>
        </w:rPr>
        <w:t>C; producent musi</w:t>
      </w:r>
      <w:r w:rsidR="008B7678" w:rsidRPr="003A53D8">
        <w:rPr>
          <w:rFonts w:cs="Calibri"/>
          <w:lang w:eastAsia="ja-JP"/>
        </w:rPr>
        <w:t xml:space="preserve"> </w:t>
      </w:r>
      <w:r w:rsidRPr="003A53D8">
        <w:rPr>
          <w:rFonts w:cs="Calibri"/>
          <w:lang w:eastAsia="ja-JP"/>
        </w:rPr>
        <w:t>wzi</w:t>
      </w:r>
      <w:r w:rsidRPr="003A53D8">
        <w:rPr>
          <w:rFonts w:cs="Calibri" w:hint="eastAsia"/>
          <w:lang w:eastAsia="ja-JP"/>
        </w:rPr>
        <w:t>ąć</w:t>
      </w:r>
      <w:r w:rsidRPr="003A53D8">
        <w:rPr>
          <w:rFonts w:cs="Calibri"/>
          <w:lang w:eastAsia="ja-JP"/>
        </w:rPr>
        <w:t xml:space="preserve"> je pod uwag</w:t>
      </w:r>
      <w:r w:rsidRPr="003A53D8">
        <w:rPr>
          <w:rFonts w:cs="Calibri" w:hint="eastAsia"/>
          <w:lang w:eastAsia="ja-JP"/>
        </w:rPr>
        <w:t>ę</w:t>
      </w:r>
      <w:r w:rsidRPr="003A53D8">
        <w:rPr>
          <w:rFonts w:cs="Calibri"/>
          <w:lang w:eastAsia="ja-JP"/>
        </w:rPr>
        <w:t xml:space="preserve"> </w:t>
      </w:r>
      <w:r w:rsidR="003B0017">
        <w:rPr>
          <w:rFonts w:cs="Calibri"/>
          <w:lang w:eastAsia="ja-JP"/>
        </w:rPr>
        <w:t>przy</w:t>
      </w:r>
      <w:r w:rsidRPr="003A53D8">
        <w:rPr>
          <w:rFonts w:cs="Calibri"/>
          <w:lang w:eastAsia="ja-JP"/>
        </w:rPr>
        <w:t xml:space="preserve"> monta</w:t>
      </w:r>
      <w:r w:rsidRPr="003A53D8">
        <w:rPr>
          <w:rFonts w:cs="Calibri" w:hint="eastAsia"/>
          <w:lang w:eastAsia="ja-JP"/>
        </w:rPr>
        <w:t>ż</w:t>
      </w:r>
      <w:r w:rsidRPr="003A53D8">
        <w:rPr>
          <w:rFonts w:cs="Calibri"/>
          <w:lang w:eastAsia="ja-JP"/>
        </w:rPr>
        <w:t>u urz</w:t>
      </w:r>
      <w:r w:rsidRPr="003A53D8">
        <w:rPr>
          <w:rFonts w:cs="Calibri" w:hint="eastAsia"/>
          <w:lang w:eastAsia="ja-JP"/>
        </w:rPr>
        <w:t>ą</w:t>
      </w:r>
      <w:r w:rsidRPr="003A53D8">
        <w:rPr>
          <w:rFonts w:cs="Calibri"/>
          <w:lang w:eastAsia="ja-JP"/>
        </w:rPr>
        <w:t>dzenia</w:t>
      </w:r>
      <w:r w:rsidR="003B0017">
        <w:rPr>
          <w:rFonts w:cs="Calibri"/>
          <w:lang w:eastAsia="ja-JP"/>
        </w:rPr>
        <w:t>.</w:t>
      </w:r>
    </w:p>
    <w:p w14:paraId="6CB2D31F" w14:textId="77777777" w:rsidR="007A43BE" w:rsidRPr="007A43BE" w:rsidRDefault="007A43B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ja-JP"/>
        </w:rPr>
      </w:pPr>
    </w:p>
    <w:p w14:paraId="6888052A" w14:textId="3D075E94" w:rsidR="00FE6A93" w:rsidRPr="005929A9" w:rsidRDefault="00FE6A93" w:rsidP="003A53D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6696F34F">
        <w:rPr>
          <w:rFonts w:cs="Calibri"/>
          <w:b/>
          <w:bCs/>
        </w:rPr>
        <w:t>Test</w:t>
      </w:r>
      <w:r w:rsidR="000438B6" w:rsidRPr="6696F34F">
        <w:rPr>
          <w:rFonts w:cs="Calibri"/>
          <w:b/>
          <w:bCs/>
        </w:rPr>
        <w:t>owanie</w:t>
      </w:r>
      <w:r w:rsidRPr="6696F34F">
        <w:rPr>
          <w:rFonts w:cs="Calibri"/>
          <w:b/>
          <w:bCs/>
        </w:rPr>
        <w:t xml:space="preserve"> wytrzymałości izolacji</w:t>
      </w:r>
    </w:p>
    <w:p w14:paraId="6888052B" w14:textId="77777777" w:rsidR="00FE6A93" w:rsidRPr="005929A9" w:rsidRDefault="00FE6A93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14:paraId="6888052C" w14:textId="310AFF07" w:rsidR="005929A9" w:rsidRDefault="005929A9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Jeśli wykonywany jest pomiar powyżej 250V, urządzenie AFDD musi zostać odłączone. W innym wypadku może dojść do uszkodzenia elektroniki aparatu. </w:t>
      </w:r>
    </w:p>
    <w:p w14:paraId="0DE677DA" w14:textId="77777777" w:rsidR="005E0CD6" w:rsidRPr="005929A9" w:rsidRDefault="005E0CD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EC80AC0" w14:textId="3482063F" w:rsidR="005E0CD6" w:rsidRPr="007D622B" w:rsidRDefault="005E0CD6" w:rsidP="003A53D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6696F34F">
        <w:rPr>
          <w:rFonts w:cs="Calibri"/>
          <w:b/>
          <w:bCs/>
        </w:rPr>
        <w:t>Ochrona uzupełniająca wyłącznik</w:t>
      </w:r>
      <w:r w:rsidR="004149A4" w:rsidRPr="6696F34F">
        <w:rPr>
          <w:rFonts w:cs="Calibri"/>
          <w:b/>
          <w:bCs/>
        </w:rPr>
        <w:t>a</w:t>
      </w:r>
      <w:r w:rsidRPr="6696F34F">
        <w:rPr>
          <w:rFonts w:cs="Calibri"/>
          <w:b/>
          <w:bCs/>
        </w:rPr>
        <w:t xml:space="preserve"> różnicowoprądo</w:t>
      </w:r>
      <w:r w:rsidR="004149A4" w:rsidRPr="6696F34F">
        <w:rPr>
          <w:rFonts w:cs="Calibri"/>
          <w:b/>
          <w:bCs/>
        </w:rPr>
        <w:t>wego</w:t>
      </w:r>
    </w:p>
    <w:p w14:paraId="2B513288" w14:textId="77777777" w:rsidR="005E0CD6" w:rsidRPr="00827798" w:rsidRDefault="005E0CD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D895C8E" w14:textId="71276693" w:rsidR="00985568" w:rsidRDefault="005E0CD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Istotne jest sprawdzenie skuteczności ochrony </w:t>
      </w:r>
      <w:r w:rsidR="00CC7E38" w:rsidRPr="6696F34F">
        <w:rPr>
          <w:rFonts w:cs="Calibri"/>
        </w:rPr>
        <w:t xml:space="preserve">uzupełniającej </w:t>
      </w:r>
      <w:r w:rsidRPr="6696F34F">
        <w:rPr>
          <w:rFonts w:cs="Calibri"/>
        </w:rPr>
        <w:t>urządzeń AFDD, które posiadają człon różnicowy</w:t>
      </w:r>
      <w:r w:rsidR="000F229C" w:rsidRPr="6696F34F">
        <w:rPr>
          <w:rFonts w:cs="Calibri"/>
        </w:rPr>
        <w:t xml:space="preserve">. </w:t>
      </w:r>
      <w:r w:rsidRPr="6696F34F">
        <w:rPr>
          <w:rFonts w:cs="Calibri"/>
        </w:rPr>
        <w:t>Wg normy</w:t>
      </w:r>
      <w:r w:rsidR="000F229C" w:rsidRPr="6696F34F">
        <w:rPr>
          <w:rFonts w:cs="Calibri"/>
        </w:rPr>
        <w:t xml:space="preserve"> PN-HD 60364-4-41</w:t>
      </w:r>
      <w:r w:rsidR="00F33479" w:rsidRPr="6696F34F">
        <w:rPr>
          <w:rFonts w:cs="Calibri"/>
        </w:rPr>
        <w:t xml:space="preserve"> </w:t>
      </w:r>
      <w:r w:rsidR="007D7435" w:rsidRPr="6696F34F">
        <w:rPr>
          <w:rFonts w:cs="Calibri"/>
        </w:rPr>
        <w:t xml:space="preserve">taka </w:t>
      </w:r>
      <w:r w:rsidRPr="6696F34F">
        <w:rPr>
          <w:rFonts w:cs="Calibri"/>
        </w:rPr>
        <w:t xml:space="preserve">ochrona w układach AC może być </w:t>
      </w:r>
      <w:r w:rsidR="00005628" w:rsidRPr="6696F34F">
        <w:rPr>
          <w:rFonts w:cs="Calibri"/>
        </w:rPr>
        <w:t>zapewniona</w:t>
      </w:r>
      <w:r w:rsidRPr="6696F34F">
        <w:rPr>
          <w:rFonts w:cs="Calibri"/>
        </w:rPr>
        <w:t xml:space="preserve"> przez </w:t>
      </w:r>
      <w:r w:rsidRPr="6696F34F">
        <w:rPr>
          <w:rFonts w:cs="Calibri"/>
        </w:rPr>
        <w:lastRenderedPageBreak/>
        <w:t xml:space="preserve">wyłącznik różnicowoprądowy (RCD) o prądzie znamionowym różnicowym I∆N ≤ 30mA. </w:t>
      </w:r>
      <w:r w:rsidR="00B60264" w:rsidRPr="6696F34F">
        <w:rPr>
          <w:rFonts w:cs="Calibri"/>
        </w:rPr>
        <w:t>S</w:t>
      </w:r>
      <w:r w:rsidRPr="6696F34F">
        <w:rPr>
          <w:rFonts w:cs="Calibri"/>
        </w:rPr>
        <w:t>kutecznoś</w:t>
      </w:r>
      <w:r w:rsidR="00B60264" w:rsidRPr="6696F34F">
        <w:rPr>
          <w:rFonts w:cs="Calibri"/>
        </w:rPr>
        <w:t xml:space="preserve">ć </w:t>
      </w:r>
      <w:r w:rsidRPr="6696F34F">
        <w:rPr>
          <w:rFonts w:cs="Calibri"/>
        </w:rPr>
        <w:t xml:space="preserve">ochrony </w:t>
      </w:r>
      <w:r w:rsidR="00B60264" w:rsidRPr="6696F34F">
        <w:rPr>
          <w:rFonts w:cs="Calibri"/>
        </w:rPr>
        <w:t>testuje</w:t>
      </w:r>
      <w:r w:rsidRPr="6696F34F">
        <w:rPr>
          <w:rFonts w:cs="Calibri"/>
        </w:rPr>
        <w:t xml:space="preserve"> się przez </w:t>
      </w:r>
      <w:r w:rsidR="00222756" w:rsidRPr="6696F34F">
        <w:rPr>
          <w:rFonts w:cs="Calibri"/>
        </w:rPr>
        <w:t>obserwację</w:t>
      </w:r>
      <w:r w:rsidRPr="6696F34F">
        <w:rPr>
          <w:rFonts w:cs="Calibri"/>
        </w:rPr>
        <w:t xml:space="preserve"> i próbę. </w:t>
      </w:r>
    </w:p>
    <w:p w14:paraId="4311F895" w14:textId="77777777" w:rsidR="00985568" w:rsidRDefault="0098556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718099B" w14:textId="725B08A2" w:rsidR="005E0CD6" w:rsidRDefault="005E0CD6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Wyłącznik różnicowoprądowy należy zbadać urządzeniem</w:t>
      </w:r>
      <w:r w:rsidR="004F62BA" w:rsidRPr="6696F34F">
        <w:rPr>
          <w:rFonts w:cs="Calibri"/>
        </w:rPr>
        <w:t>, które jest</w:t>
      </w:r>
      <w:r w:rsidRPr="6696F34F">
        <w:rPr>
          <w:rFonts w:cs="Calibri"/>
        </w:rPr>
        <w:t xml:space="preserve"> zgodn</w:t>
      </w:r>
      <w:r w:rsidR="004F62BA" w:rsidRPr="6696F34F">
        <w:rPr>
          <w:rFonts w:cs="Calibri"/>
        </w:rPr>
        <w:t>e</w:t>
      </w:r>
      <w:r w:rsidRPr="6696F34F">
        <w:rPr>
          <w:rFonts w:cs="Calibri"/>
        </w:rPr>
        <w:t xml:space="preserve"> z </w:t>
      </w:r>
      <w:r w:rsidR="004109AF" w:rsidRPr="6696F34F">
        <w:rPr>
          <w:rFonts w:cs="Calibri"/>
        </w:rPr>
        <w:t xml:space="preserve">normą </w:t>
      </w:r>
      <w:r w:rsidRPr="6696F34F">
        <w:rPr>
          <w:rFonts w:cs="Calibri"/>
        </w:rPr>
        <w:t>EN 61557-6.</w:t>
      </w:r>
      <w:r w:rsidR="00985568" w:rsidRPr="6696F34F">
        <w:rPr>
          <w:rFonts w:cs="Calibri"/>
        </w:rPr>
        <w:t xml:space="preserve"> </w:t>
      </w:r>
      <w:r w:rsidR="00AD7783" w:rsidRPr="6696F34F">
        <w:rPr>
          <w:rFonts w:cs="Calibri"/>
        </w:rPr>
        <w:t>Podczas</w:t>
      </w:r>
      <w:r w:rsidRPr="6696F34F">
        <w:rPr>
          <w:rFonts w:cs="Calibri"/>
        </w:rPr>
        <w:t xml:space="preserve"> pomiaru </w:t>
      </w:r>
      <w:r w:rsidR="00985568" w:rsidRPr="6696F34F">
        <w:rPr>
          <w:rFonts w:cs="Calibri"/>
        </w:rPr>
        <w:t>konieczne jest zwrócenie</w:t>
      </w:r>
      <w:r w:rsidRPr="6696F34F">
        <w:rPr>
          <w:rFonts w:cs="Calibri"/>
        </w:rPr>
        <w:t xml:space="preserve"> uwag</w:t>
      </w:r>
      <w:r w:rsidR="00985568" w:rsidRPr="6696F34F">
        <w:rPr>
          <w:rFonts w:cs="Calibri"/>
        </w:rPr>
        <w:t>i na p</w:t>
      </w:r>
      <w:r w:rsidRPr="6696F34F">
        <w:rPr>
          <w:rFonts w:cs="Calibri"/>
        </w:rPr>
        <w:t>rąd znamionowy różnicowy I</w:t>
      </w:r>
      <w:r w:rsidRPr="6696F34F">
        <w:rPr>
          <w:rFonts w:cs="Calibri"/>
          <w:vertAlign w:val="subscript"/>
        </w:rPr>
        <w:t>∆N</w:t>
      </w:r>
      <w:r w:rsidR="00985568" w:rsidRPr="6696F34F">
        <w:rPr>
          <w:rFonts w:cs="Calibri"/>
        </w:rPr>
        <w:t xml:space="preserve"> oraz z</w:t>
      </w:r>
      <w:r w:rsidRPr="6696F34F">
        <w:rPr>
          <w:rFonts w:cs="Calibri"/>
        </w:rPr>
        <w:t>włokę członu (bezzwłoczny, zwłoczny)</w:t>
      </w:r>
      <w:r w:rsidR="00985568" w:rsidRPr="6696F34F">
        <w:rPr>
          <w:rFonts w:cs="Calibri"/>
        </w:rPr>
        <w:t>.</w:t>
      </w:r>
    </w:p>
    <w:p w14:paraId="2967149B" w14:textId="728E4B8F" w:rsidR="003B0017" w:rsidRDefault="003B0017" w:rsidP="009624C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7F59134" w14:textId="4AFEB430" w:rsidR="003B0017" w:rsidRPr="007D622B" w:rsidRDefault="003B0017" w:rsidP="003A53D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 wp14:anchorId="0730474E" wp14:editId="0D3E0654">
            <wp:extent cx="5760720" cy="52901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6241" w14:textId="77777777" w:rsidR="005E0CD6" w:rsidRDefault="005E0CD6" w:rsidP="003A53D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A53D8">
        <w:rPr>
          <w:rFonts w:cs="Calibri"/>
        </w:rPr>
        <w:t>Rys.2</w:t>
      </w:r>
      <w:r w:rsidRPr="6696F34F">
        <w:rPr>
          <w:rFonts w:cs="Calibri"/>
        </w:rPr>
        <w:t xml:space="preserve"> Charakterystyka wyzwalania wyłączników różnicowoprądowych</w:t>
      </w:r>
    </w:p>
    <w:p w14:paraId="6888052D" w14:textId="5DC96369" w:rsidR="000417FC" w:rsidRDefault="000417FC" w:rsidP="009624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highlight w:val="yellow"/>
        </w:rPr>
      </w:pPr>
    </w:p>
    <w:p w14:paraId="11F79AC6" w14:textId="77777777" w:rsidR="003B0017" w:rsidRPr="005920A0" w:rsidRDefault="003B0017" w:rsidP="003A53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highlight w:val="yellow"/>
        </w:rPr>
      </w:pPr>
    </w:p>
    <w:p w14:paraId="6888052E" w14:textId="1A316F34" w:rsidR="00185CFE" w:rsidRPr="00A61DEF" w:rsidRDefault="00F8696B" w:rsidP="003A53D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6696F34F">
        <w:rPr>
          <w:rFonts w:cs="Calibri"/>
          <w:b/>
          <w:bCs/>
        </w:rPr>
        <w:t xml:space="preserve">Automatyczne </w:t>
      </w:r>
      <w:r w:rsidR="00C72898" w:rsidRPr="6696F34F">
        <w:rPr>
          <w:rFonts w:cs="Calibri"/>
          <w:b/>
          <w:bCs/>
        </w:rPr>
        <w:t>wyłączenie zasilania</w:t>
      </w:r>
    </w:p>
    <w:p w14:paraId="6888052F" w14:textId="77777777" w:rsidR="00C72898" w:rsidRDefault="00C72898" w:rsidP="003A53D8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cs="Calibri"/>
        </w:rPr>
      </w:pPr>
    </w:p>
    <w:p w14:paraId="68880530" w14:textId="42CDECF7" w:rsidR="00C72898" w:rsidRDefault="00ED64C0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Jak wskazuje norma PN-HD 60364-4-41, </w:t>
      </w:r>
      <w:r w:rsidRPr="00510863">
        <w:rPr>
          <w:rFonts w:cs="Calibri"/>
        </w:rPr>
        <w:t>aparat AF</w:t>
      </w:r>
      <w:r w:rsidR="00510863" w:rsidRPr="003A53D8">
        <w:rPr>
          <w:rFonts w:cs="Calibri"/>
        </w:rPr>
        <w:t>D</w:t>
      </w:r>
      <w:r w:rsidRPr="00510863">
        <w:rPr>
          <w:rFonts w:cs="Calibri"/>
        </w:rPr>
        <w:t xml:space="preserve">D zabudowany </w:t>
      </w:r>
      <w:r w:rsidRPr="6696F34F">
        <w:rPr>
          <w:rFonts w:cs="Calibri"/>
        </w:rPr>
        <w:t>lub zespolony z wyłącznikiem nadprądowym (lub różnicowoprądowym z członem nadprądowym) może samoczynn</w:t>
      </w:r>
      <w:r w:rsidR="00CA1E2F" w:rsidRPr="6696F34F">
        <w:rPr>
          <w:rFonts w:cs="Calibri"/>
        </w:rPr>
        <w:t>ie wyłączyć zasilanie</w:t>
      </w:r>
      <w:r w:rsidRPr="6696F34F">
        <w:rPr>
          <w:rFonts w:cs="Calibri"/>
        </w:rPr>
        <w:t xml:space="preserve">. </w:t>
      </w:r>
      <w:r w:rsidR="00D12D29" w:rsidRPr="6696F34F">
        <w:rPr>
          <w:rFonts w:cs="Calibri"/>
        </w:rPr>
        <w:t xml:space="preserve">Przebieg testu zależy od układu sieci, w </w:t>
      </w:r>
      <w:r w:rsidR="00BF1357" w:rsidRPr="6696F34F">
        <w:rPr>
          <w:rFonts w:cs="Calibri"/>
        </w:rPr>
        <w:t xml:space="preserve">którym </w:t>
      </w:r>
      <w:r w:rsidR="00415E48" w:rsidRPr="6696F34F">
        <w:rPr>
          <w:rFonts w:cs="Calibri"/>
        </w:rPr>
        <w:t xml:space="preserve">działa </w:t>
      </w:r>
      <w:r w:rsidR="00D12D29" w:rsidRPr="6696F34F">
        <w:rPr>
          <w:rFonts w:cs="Calibri"/>
        </w:rPr>
        <w:t xml:space="preserve">urządzenie. </w:t>
      </w:r>
    </w:p>
    <w:p w14:paraId="68880531" w14:textId="77777777" w:rsidR="00C72898" w:rsidRDefault="00C7289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32" w14:textId="07C58ACD" w:rsidR="003C48F5" w:rsidRDefault="00C7289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  <w:b/>
          <w:bCs/>
        </w:rPr>
        <w:t>Układ TN</w:t>
      </w:r>
    </w:p>
    <w:p w14:paraId="68880533" w14:textId="77777777" w:rsidR="003C48F5" w:rsidRDefault="003C48F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36" w14:textId="3AC717EC" w:rsidR="00C72898" w:rsidRPr="00B31082" w:rsidRDefault="003C48F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Z</w:t>
      </w:r>
      <w:r w:rsidR="00C72898" w:rsidRPr="6696F34F">
        <w:rPr>
          <w:rFonts w:cs="Calibri"/>
        </w:rPr>
        <w:t>godnie z</w:t>
      </w:r>
      <w:r w:rsidR="00F54698" w:rsidRPr="6696F34F">
        <w:rPr>
          <w:rFonts w:cs="Calibri"/>
        </w:rPr>
        <w:t xml:space="preserve"> normą</w:t>
      </w:r>
      <w:r w:rsidR="00C72898" w:rsidRPr="6696F34F">
        <w:rPr>
          <w:rFonts w:cs="Calibri"/>
        </w:rPr>
        <w:t xml:space="preserve"> PN-HD 60364-4-41 </w:t>
      </w:r>
      <w:r w:rsidR="009934A1" w:rsidRPr="6696F34F">
        <w:rPr>
          <w:rFonts w:cs="Calibri"/>
        </w:rPr>
        <w:t xml:space="preserve">w układzie </w:t>
      </w:r>
      <w:r w:rsidR="005D312C" w:rsidRPr="6696F34F">
        <w:rPr>
          <w:rFonts w:cs="Calibri"/>
        </w:rPr>
        <w:t>konieczne jest spełnienie</w:t>
      </w:r>
      <w:r w:rsidR="00B31082" w:rsidRPr="6696F34F">
        <w:rPr>
          <w:rFonts w:cs="Calibri"/>
        </w:rPr>
        <w:t xml:space="preserve"> </w:t>
      </w:r>
      <w:r w:rsidR="005D312C" w:rsidRPr="6696F34F">
        <w:rPr>
          <w:rFonts w:cs="Calibri"/>
        </w:rPr>
        <w:t>warunku</w:t>
      </w:r>
      <w:r w:rsidR="00C72898" w:rsidRPr="6696F34F">
        <w:rPr>
          <w:rFonts w:cs="Calibri"/>
        </w:rPr>
        <w:t>:</w:t>
      </w:r>
      <w:r w:rsidR="00BF1357" w:rsidRPr="6696F34F">
        <w:rPr>
          <w:rFonts w:cs="Calibri"/>
        </w:rPr>
        <w:t xml:space="preserve">  </w:t>
      </w:r>
      <w:r w:rsidR="00C72898" w:rsidRPr="6696F34F">
        <w:rPr>
          <w:rFonts w:cs="Calibri"/>
        </w:rPr>
        <w:t>Z</w:t>
      </w:r>
      <w:r w:rsidR="00C72898" w:rsidRPr="6696F34F">
        <w:rPr>
          <w:rFonts w:cs="Calibri"/>
          <w:vertAlign w:val="subscript"/>
        </w:rPr>
        <w:t>s</w:t>
      </w:r>
      <w:r w:rsidR="00306EF1" w:rsidRPr="6696F34F">
        <w:rPr>
          <w:rFonts w:cs="Calibri"/>
        </w:rPr>
        <w:t xml:space="preserve"> x I</w:t>
      </w:r>
      <w:r w:rsidR="00306EF1" w:rsidRPr="6696F34F">
        <w:rPr>
          <w:rFonts w:cs="Calibri"/>
          <w:vertAlign w:val="subscript"/>
        </w:rPr>
        <w:t>a</w:t>
      </w:r>
      <w:r w:rsidR="00306EF1" w:rsidRPr="6696F34F">
        <w:rPr>
          <w:rFonts w:cs="Calibri"/>
        </w:rPr>
        <w:t xml:space="preserve"> ≤ U</w:t>
      </w:r>
      <w:r w:rsidR="00306EF1" w:rsidRPr="6696F34F">
        <w:rPr>
          <w:rFonts w:cs="Calibri"/>
          <w:vertAlign w:val="subscript"/>
        </w:rPr>
        <w:t>0</w:t>
      </w:r>
      <w:r w:rsidR="00BF1357" w:rsidRPr="6696F34F">
        <w:rPr>
          <w:rFonts w:cs="Calibri"/>
        </w:rPr>
        <w:t>,</w:t>
      </w:r>
      <w:r w:rsidR="00306EF1" w:rsidRPr="6696F34F">
        <w:rPr>
          <w:rFonts w:cs="Calibri"/>
          <w:vertAlign w:val="subscript"/>
        </w:rPr>
        <w:t xml:space="preserve">  </w:t>
      </w:r>
      <w:r w:rsidR="00306EF1" w:rsidRPr="6696F34F">
        <w:rPr>
          <w:rFonts w:cs="Calibri"/>
        </w:rPr>
        <w:t>gdzie:</w:t>
      </w:r>
    </w:p>
    <w:p w14:paraId="68880537" w14:textId="77777777" w:rsidR="00306EF1" w:rsidRPr="00B31082" w:rsidRDefault="00306EF1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38" w14:textId="77777777" w:rsidR="00306EF1" w:rsidRPr="00B31082" w:rsidRDefault="00306EF1" w:rsidP="003A53D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</w:rPr>
      </w:pPr>
      <w:r w:rsidRPr="00B31082">
        <w:rPr>
          <w:rFonts w:cs="Calibri"/>
        </w:rPr>
        <w:t>Z</w:t>
      </w:r>
      <w:r w:rsidRPr="00B31082">
        <w:rPr>
          <w:rFonts w:cs="Calibri"/>
          <w:vertAlign w:val="subscript"/>
        </w:rPr>
        <w:t>s</w:t>
      </w:r>
      <w:r w:rsidR="004B12AF">
        <w:rPr>
          <w:rFonts w:cs="Calibri"/>
        </w:rPr>
        <w:t xml:space="preserve"> </w:t>
      </w:r>
      <w:r w:rsidR="004B12AF" w:rsidRPr="004B12AF">
        <w:rPr>
          <w:rFonts w:cs="Calibri"/>
        </w:rPr>
        <w:t xml:space="preserve">– </w:t>
      </w:r>
      <w:r w:rsidRPr="00B31082">
        <w:rPr>
          <w:rFonts w:cs="Calibri"/>
        </w:rPr>
        <w:t>impedancj</w:t>
      </w:r>
      <w:r w:rsidR="004B12AF">
        <w:rPr>
          <w:rFonts w:cs="Calibri"/>
        </w:rPr>
        <w:t>a</w:t>
      </w:r>
      <w:r w:rsidRPr="00B31082">
        <w:rPr>
          <w:rFonts w:cs="Calibri"/>
        </w:rPr>
        <w:t xml:space="preserve"> pętli zwarcia</w:t>
      </w:r>
    </w:p>
    <w:p w14:paraId="68880539" w14:textId="71088962" w:rsidR="00454054" w:rsidRPr="00B31082" w:rsidRDefault="00306EF1" w:rsidP="003A53D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</w:rPr>
      </w:pPr>
      <w:r w:rsidRPr="6696F34F">
        <w:rPr>
          <w:rFonts w:cs="Calibri"/>
        </w:rPr>
        <w:lastRenderedPageBreak/>
        <w:t>I</w:t>
      </w:r>
      <w:r w:rsidRPr="6696F34F">
        <w:rPr>
          <w:rFonts w:cs="Calibri"/>
          <w:vertAlign w:val="subscript"/>
        </w:rPr>
        <w:t xml:space="preserve">a </w:t>
      </w:r>
      <w:r w:rsidR="004B12AF" w:rsidRPr="6696F34F">
        <w:rPr>
          <w:rFonts w:cs="Calibri"/>
        </w:rPr>
        <w:t xml:space="preserve">– </w:t>
      </w:r>
      <w:r w:rsidRPr="6696F34F">
        <w:rPr>
          <w:rFonts w:cs="Calibri"/>
        </w:rPr>
        <w:t xml:space="preserve">prąd powodujący </w:t>
      </w:r>
      <w:r w:rsidR="006C3F4C" w:rsidRPr="6696F34F">
        <w:rPr>
          <w:rFonts w:cs="Calibri"/>
        </w:rPr>
        <w:t xml:space="preserve">automatyczne </w:t>
      </w:r>
      <w:r w:rsidRPr="6696F34F">
        <w:rPr>
          <w:rFonts w:cs="Calibri"/>
        </w:rPr>
        <w:t xml:space="preserve">wyłączenie zasilania </w:t>
      </w:r>
      <w:r w:rsidR="00B31082" w:rsidRPr="6696F34F">
        <w:rPr>
          <w:rFonts w:cs="Calibri"/>
        </w:rPr>
        <w:t>(</w:t>
      </w:r>
      <w:r w:rsidRPr="6696F34F">
        <w:rPr>
          <w:rFonts w:cs="Calibri"/>
        </w:rPr>
        <w:t>zgodnie z Tabelą 1</w:t>
      </w:r>
      <w:r w:rsidR="00B31082" w:rsidRPr="6696F34F">
        <w:rPr>
          <w:rFonts w:cs="Calibri"/>
        </w:rPr>
        <w:t>)</w:t>
      </w:r>
    </w:p>
    <w:p w14:paraId="6888053A" w14:textId="77777777" w:rsidR="00E437AF" w:rsidRPr="00B31082" w:rsidRDefault="00306EF1" w:rsidP="003A53D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</w:rPr>
      </w:pPr>
      <w:r w:rsidRPr="00B31082">
        <w:rPr>
          <w:rFonts w:cs="Calibri"/>
        </w:rPr>
        <w:t>U</w:t>
      </w:r>
      <w:r w:rsidRPr="00B31082">
        <w:rPr>
          <w:rFonts w:cs="Calibri"/>
          <w:vertAlign w:val="subscript"/>
        </w:rPr>
        <w:t xml:space="preserve">0 </w:t>
      </w:r>
      <w:r w:rsidR="004B12AF" w:rsidRPr="004B12AF">
        <w:rPr>
          <w:rFonts w:cs="Calibri"/>
        </w:rPr>
        <w:t xml:space="preserve">– </w:t>
      </w:r>
      <w:r w:rsidRPr="00B31082">
        <w:rPr>
          <w:rFonts w:cs="Calibri"/>
        </w:rPr>
        <w:t>znamionowe napięcie względem ziemi AC/DC</w:t>
      </w:r>
    </w:p>
    <w:p w14:paraId="6888053B" w14:textId="77777777" w:rsidR="00E44A5A" w:rsidRPr="00B31082" w:rsidRDefault="00E44A5A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7BAAD39" w14:textId="6D6F893D" w:rsidR="003B0017" w:rsidRDefault="003B0017" w:rsidP="003A53D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 wp14:anchorId="6AF0EB15" wp14:editId="3720B6CA">
            <wp:extent cx="5760720" cy="9639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0561" w14:textId="24EBEFAD" w:rsidR="00E44A5A" w:rsidRPr="00510863" w:rsidRDefault="00E44A5A" w:rsidP="003A53D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="Calibri"/>
        </w:rPr>
      </w:pPr>
      <w:r w:rsidRPr="00510863">
        <w:rPr>
          <w:rFonts w:cs="Calibri"/>
        </w:rPr>
        <w:t xml:space="preserve">Tabela </w:t>
      </w:r>
      <w:r w:rsidR="007A43BE" w:rsidRPr="00510863">
        <w:rPr>
          <w:rFonts w:cs="Calibri"/>
        </w:rPr>
        <w:t>2</w:t>
      </w:r>
      <w:r w:rsidR="003B0017" w:rsidRPr="00510863">
        <w:rPr>
          <w:rFonts w:cs="Calibri"/>
        </w:rPr>
        <w:t>.</w:t>
      </w:r>
      <w:r w:rsidR="00510863" w:rsidRPr="003A53D8">
        <w:rPr>
          <w:rFonts w:cs="Calibri"/>
        </w:rPr>
        <w:t xml:space="preserve"> Dozwolone czasy wyłączenia</w:t>
      </w:r>
    </w:p>
    <w:p w14:paraId="68880562" w14:textId="77777777" w:rsidR="00E44A5A" w:rsidRDefault="00E44A5A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66" w14:textId="1FEEB9EF" w:rsidR="000417FC" w:rsidRPr="00B31082" w:rsidRDefault="00D74C57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5 sekund to maksymalny czas wyłączania dopuszczalny dla obwodów rozdzielczych i obwodów zabezpieczonych wyłącznikami nadprądowymi o prądzie In </w:t>
      </w:r>
      <w:r w:rsidR="00293944">
        <w:rPr>
          <w:rFonts w:cs="Calibri"/>
        </w:rPr>
        <w:t>≤</w:t>
      </w:r>
      <w:r w:rsidRPr="6696F34F">
        <w:rPr>
          <w:rFonts w:cs="Calibri"/>
        </w:rPr>
        <w:t xml:space="preserve"> 32A. </w:t>
      </w:r>
      <w:r w:rsidR="00B31D60" w:rsidRPr="6696F34F">
        <w:rPr>
          <w:rFonts w:cs="Calibri"/>
        </w:rPr>
        <w:t xml:space="preserve">Podczas badania sprawdzana jest </w:t>
      </w:r>
      <w:r w:rsidR="00B31082" w:rsidRPr="6696F34F">
        <w:rPr>
          <w:rFonts w:cs="Calibri"/>
        </w:rPr>
        <w:t>i</w:t>
      </w:r>
      <w:r w:rsidR="000417FC" w:rsidRPr="6696F34F">
        <w:rPr>
          <w:rFonts w:cs="Calibri"/>
        </w:rPr>
        <w:t>mpedancj</w:t>
      </w:r>
      <w:r w:rsidR="00B31D60" w:rsidRPr="6696F34F">
        <w:rPr>
          <w:rFonts w:cs="Calibri"/>
        </w:rPr>
        <w:t>a</w:t>
      </w:r>
      <w:r w:rsidR="000417FC" w:rsidRPr="6696F34F">
        <w:rPr>
          <w:rFonts w:cs="Calibri"/>
        </w:rPr>
        <w:t xml:space="preserve"> pętli zwarcia (pomiar)</w:t>
      </w:r>
      <w:r w:rsidR="00B31D60" w:rsidRPr="6696F34F">
        <w:rPr>
          <w:rFonts w:cs="Calibri"/>
        </w:rPr>
        <w:t xml:space="preserve"> oraz </w:t>
      </w:r>
      <w:r w:rsidR="000417FC" w:rsidRPr="6696F34F">
        <w:rPr>
          <w:rFonts w:cs="Calibri"/>
        </w:rPr>
        <w:t>charakterystyk</w:t>
      </w:r>
      <w:r w:rsidR="00380C24" w:rsidRPr="6696F34F">
        <w:rPr>
          <w:rFonts w:cs="Calibri"/>
        </w:rPr>
        <w:t>a</w:t>
      </w:r>
      <w:r w:rsidR="000417FC" w:rsidRPr="6696F34F">
        <w:rPr>
          <w:rFonts w:cs="Calibri"/>
        </w:rPr>
        <w:t xml:space="preserve"> i/lub skutecznoś</w:t>
      </w:r>
      <w:r w:rsidRPr="6696F34F">
        <w:rPr>
          <w:rFonts w:cs="Calibri"/>
        </w:rPr>
        <w:t>ć</w:t>
      </w:r>
      <w:r w:rsidR="000417FC" w:rsidRPr="6696F34F">
        <w:rPr>
          <w:rFonts w:cs="Calibri"/>
        </w:rPr>
        <w:t xml:space="preserve"> współdziałającego urządzenia ochronnego</w:t>
      </w:r>
      <w:r w:rsidR="00380C24" w:rsidRPr="6696F34F">
        <w:rPr>
          <w:rFonts w:cs="Calibri"/>
        </w:rPr>
        <w:t xml:space="preserve">. </w:t>
      </w:r>
    </w:p>
    <w:p w14:paraId="68880567" w14:textId="77777777" w:rsidR="000417FC" w:rsidRDefault="000417F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6C" w14:textId="343C4A2D" w:rsidR="003C48F5" w:rsidRDefault="00D74C57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W przypadku wyłączników nadprądowych wystarczy dokonać oględzin. Wyłączniki różnicowoprądowe wymagają </w:t>
      </w:r>
      <w:r w:rsidR="007E7828" w:rsidRPr="6696F34F">
        <w:rPr>
          <w:rFonts w:cs="Calibri"/>
        </w:rPr>
        <w:t>dodatkowo</w:t>
      </w:r>
      <w:r w:rsidRPr="6696F34F">
        <w:rPr>
          <w:rFonts w:cs="Calibri"/>
        </w:rPr>
        <w:t xml:space="preserve"> pomiaru </w:t>
      </w:r>
      <w:r w:rsidR="007E7828" w:rsidRPr="6696F34F">
        <w:rPr>
          <w:rFonts w:cs="Calibri"/>
        </w:rPr>
        <w:t>za pomocą</w:t>
      </w:r>
      <w:r w:rsidRPr="6696F34F">
        <w:rPr>
          <w:rFonts w:cs="Calibri"/>
        </w:rPr>
        <w:t xml:space="preserve"> </w:t>
      </w:r>
      <w:r w:rsidR="007E7828" w:rsidRPr="6696F34F">
        <w:rPr>
          <w:rFonts w:cs="Calibri"/>
        </w:rPr>
        <w:t xml:space="preserve">urządzenia zgodnego </w:t>
      </w:r>
      <w:r w:rsidRPr="6696F34F">
        <w:rPr>
          <w:rFonts w:cs="Calibri"/>
        </w:rPr>
        <w:t>z normami EN 61557-6 oraz PN-EN 60364-4-41.</w:t>
      </w:r>
      <w:r w:rsidR="2C5C67AC" w:rsidRPr="6696F34F">
        <w:rPr>
          <w:rFonts w:cs="Calibri"/>
        </w:rPr>
        <w:t xml:space="preserve"> </w:t>
      </w:r>
      <w:r w:rsidR="0064234A" w:rsidRPr="6696F34F">
        <w:rPr>
          <w:rFonts w:cs="Calibri"/>
        </w:rPr>
        <w:t>W</w:t>
      </w:r>
      <w:r w:rsidR="003C48F5" w:rsidRPr="6696F34F">
        <w:rPr>
          <w:rFonts w:cs="Calibri"/>
        </w:rPr>
        <w:t>e wzorze Z</w:t>
      </w:r>
      <w:r w:rsidR="003C48F5" w:rsidRPr="6696F34F">
        <w:rPr>
          <w:rFonts w:cs="Calibri"/>
          <w:vertAlign w:val="subscript"/>
        </w:rPr>
        <w:t>s</w:t>
      </w:r>
      <w:r w:rsidR="003C48F5" w:rsidRPr="6696F34F">
        <w:rPr>
          <w:rFonts w:cs="Calibri"/>
        </w:rPr>
        <w:t xml:space="preserve"> x I</w:t>
      </w:r>
      <w:r w:rsidR="003C48F5" w:rsidRPr="6696F34F">
        <w:rPr>
          <w:rFonts w:cs="Calibri"/>
          <w:vertAlign w:val="subscript"/>
        </w:rPr>
        <w:t>a</w:t>
      </w:r>
      <w:r w:rsidR="003C48F5" w:rsidRPr="6696F34F">
        <w:rPr>
          <w:rFonts w:cs="Calibri"/>
        </w:rPr>
        <w:t xml:space="preserve"> ≤ U</w:t>
      </w:r>
      <w:r w:rsidR="003C48F5" w:rsidRPr="6696F34F">
        <w:rPr>
          <w:rFonts w:cs="Calibri"/>
          <w:vertAlign w:val="subscript"/>
        </w:rPr>
        <w:t xml:space="preserve">0 </w:t>
      </w:r>
      <w:r w:rsidR="00FE5981" w:rsidRPr="6696F34F">
        <w:rPr>
          <w:rFonts w:cs="Calibri"/>
        </w:rPr>
        <w:t>zmienna</w:t>
      </w:r>
      <w:r w:rsidR="003C48F5" w:rsidRPr="6696F34F">
        <w:rPr>
          <w:rFonts w:cs="Calibri"/>
        </w:rPr>
        <w:t xml:space="preserve"> I</w:t>
      </w:r>
      <w:r w:rsidR="003C48F5" w:rsidRPr="6696F34F">
        <w:rPr>
          <w:rFonts w:cs="Calibri"/>
          <w:vertAlign w:val="subscript"/>
        </w:rPr>
        <w:t>a</w:t>
      </w:r>
      <w:r w:rsidR="003C48F5" w:rsidRPr="6696F34F">
        <w:rPr>
          <w:rFonts w:cs="Calibri"/>
        </w:rPr>
        <w:t xml:space="preserve"> jest </w:t>
      </w:r>
      <w:r w:rsidR="00A34E37" w:rsidRPr="6696F34F">
        <w:rPr>
          <w:rFonts w:cs="Calibri"/>
        </w:rPr>
        <w:t xml:space="preserve">wtedy </w:t>
      </w:r>
      <w:r w:rsidR="003C48F5" w:rsidRPr="6696F34F">
        <w:rPr>
          <w:rFonts w:cs="Calibri"/>
        </w:rPr>
        <w:t>różnicowym prądem zadziałania</w:t>
      </w:r>
      <w:r w:rsidR="00C722CD" w:rsidRPr="6696F34F">
        <w:rPr>
          <w:rFonts w:cs="Calibri"/>
        </w:rPr>
        <w:t xml:space="preserve"> (który</w:t>
      </w:r>
      <w:r w:rsidR="003C48F5" w:rsidRPr="6696F34F">
        <w:rPr>
          <w:rFonts w:cs="Calibri"/>
        </w:rPr>
        <w:t xml:space="preserve"> zapewnia wyłączenie w czasie zgodnym z Tabelą</w:t>
      </w:r>
      <w:r w:rsidR="00C722CD" w:rsidRPr="6696F34F">
        <w:rPr>
          <w:rFonts w:cs="Calibri"/>
        </w:rPr>
        <w:t xml:space="preserve"> </w:t>
      </w:r>
      <w:r w:rsidR="008B7678">
        <w:rPr>
          <w:rFonts w:cs="Calibri"/>
        </w:rPr>
        <w:t>2</w:t>
      </w:r>
      <w:r w:rsidR="00C722CD" w:rsidRPr="6696F34F">
        <w:rPr>
          <w:rFonts w:cs="Calibri"/>
        </w:rPr>
        <w:t>)</w:t>
      </w:r>
      <w:r w:rsidR="003C48F5" w:rsidRPr="6696F34F">
        <w:rPr>
          <w:rFonts w:cs="Calibri"/>
        </w:rPr>
        <w:t>.</w:t>
      </w:r>
    </w:p>
    <w:p w14:paraId="6888056D" w14:textId="77777777" w:rsidR="003C48F5" w:rsidRDefault="003C48F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6E" w14:textId="255E98B6" w:rsidR="00DA2BC7" w:rsidRPr="007C58E2" w:rsidRDefault="00DA2BC7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Jeśli urządzenie AFDD posiada zintegrowany człon różnicowy, trzeba </w:t>
      </w:r>
      <w:r w:rsidR="006D39AB" w:rsidRPr="6696F34F">
        <w:rPr>
          <w:rFonts w:cs="Calibri"/>
        </w:rPr>
        <w:t xml:space="preserve">zwrócić uwagę na jego zwłokę. </w:t>
      </w:r>
      <w:r w:rsidR="007D62B3" w:rsidRPr="6696F34F">
        <w:rPr>
          <w:rFonts w:cs="Calibri"/>
        </w:rPr>
        <w:t>Jest to szczególnie ważne, ponieważ i</w:t>
      </w:r>
      <w:r w:rsidR="006D39AB" w:rsidRPr="6696F34F">
        <w:rPr>
          <w:rFonts w:cs="Calibri"/>
        </w:rPr>
        <w:t xml:space="preserve">stnieją rozwiązania bezzwłoczne oraz krótkozwłoczne (o zwłoce 10ms lub większej). </w:t>
      </w:r>
      <w:r w:rsidR="00D64A6E" w:rsidRPr="6696F34F">
        <w:rPr>
          <w:rFonts w:cs="Calibri"/>
        </w:rPr>
        <w:t xml:space="preserve">Trzeba to uwzględnić przy </w:t>
      </w:r>
      <w:r w:rsidR="007D62B3" w:rsidRPr="6696F34F">
        <w:rPr>
          <w:rFonts w:cs="Calibri"/>
        </w:rPr>
        <w:t>przeprowadzaniu pomiaru</w:t>
      </w:r>
      <w:r w:rsidR="00D5556E" w:rsidRPr="6696F34F">
        <w:rPr>
          <w:rFonts w:cs="Calibri"/>
        </w:rPr>
        <w:t>, gdyż</w:t>
      </w:r>
      <w:r w:rsidR="007D62B3" w:rsidRPr="6696F34F">
        <w:rPr>
          <w:rFonts w:cs="Calibri"/>
        </w:rPr>
        <w:t xml:space="preserve"> wyzwolenie aparatu poniżej progu 10ms oznacza niepoprawne działanie członu różnicowego w urządzeniu.</w:t>
      </w:r>
    </w:p>
    <w:p w14:paraId="6888056F" w14:textId="77777777" w:rsidR="003C48F5" w:rsidRDefault="003C48F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70" w14:textId="77777777" w:rsidR="003C48F5" w:rsidRPr="005A4637" w:rsidRDefault="003C48F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6696F34F">
        <w:rPr>
          <w:rFonts w:cs="Calibri"/>
          <w:b/>
          <w:bCs/>
        </w:rPr>
        <w:t>Układ</w:t>
      </w:r>
      <w:r w:rsidR="00C937DC" w:rsidRPr="6696F34F">
        <w:rPr>
          <w:rFonts w:cs="Calibri"/>
          <w:b/>
          <w:bCs/>
        </w:rPr>
        <w:t xml:space="preserve"> TT</w:t>
      </w:r>
    </w:p>
    <w:p w14:paraId="68880571" w14:textId="77777777" w:rsidR="001421A4" w:rsidRPr="006223C2" w:rsidRDefault="001421A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highlight w:val="yellow"/>
        </w:rPr>
      </w:pPr>
    </w:p>
    <w:p w14:paraId="68880572" w14:textId="07F66822" w:rsidR="001421A4" w:rsidRDefault="008F784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Gdy </w:t>
      </w:r>
      <w:r w:rsidR="00F90482" w:rsidRPr="6696F34F">
        <w:rPr>
          <w:rFonts w:cs="Calibri"/>
        </w:rPr>
        <w:t xml:space="preserve">wyłącznik różnicowoprądowy </w:t>
      </w:r>
      <w:r w:rsidR="00D97EF3" w:rsidRPr="6696F34F">
        <w:rPr>
          <w:rFonts w:cs="Calibri"/>
        </w:rPr>
        <w:t>uruchamia</w:t>
      </w:r>
      <w:r w:rsidR="001421A4" w:rsidRPr="6696F34F">
        <w:rPr>
          <w:rFonts w:cs="Calibri"/>
        </w:rPr>
        <w:t xml:space="preserve"> </w:t>
      </w:r>
      <w:r w:rsidR="00D97EF3" w:rsidRPr="6696F34F">
        <w:rPr>
          <w:rFonts w:cs="Calibri"/>
        </w:rPr>
        <w:t xml:space="preserve">funkcję </w:t>
      </w:r>
      <w:r w:rsidR="001421A4" w:rsidRPr="6696F34F">
        <w:rPr>
          <w:rFonts w:cs="Calibri"/>
        </w:rPr>
        <w:t xml:space="preserve">samoczynnego wyłączenia zasilania, czas zadziałania powinien odpowiadać </w:t>
      </w:r>
      <w:r w:rsidRPr="6696F34F">
        <w:rPr>
          <w:rFonts w:cs="Calibri"/>
        </w:rPr>
        <w:t xml:space="preserve">wartościom z </w:t>
      </w:r>
      <w:r w:rsidR="001421A4" w:rsidRPr="6696F34F">
        <w:rPr>
          <w:rFonts w:cs="Calibri"/>
        </w:rPr>
        <w:t xml:space="preserve">Tabeli </w:t>
      </w:r>
      <w:r w:rsidR="008B7678">
        <w:rPr>
          <w:rFonts w:cs="Calibri"/>
        </w:rPr>
        <w:t>2.</w:t>
      </w:r>
      <w:r w:rsidR="007C58E2" w:rsidRPr="6696F34F">
        <w:rPr>
          <w:rFonts w:cs="Calibri"/>
        </w:rPr>
        <w:t xml:space="preserve"> Oprócz tego musi być spełniony warunek:</w:t>
      </w:r>
    </w:p>
    <w:p w14:paraId="68880574" w14:textId="0C6CDC7B" w:rsidR="001421A4" w:rsidRPr="005A4637" w:rsidRDefault="001421A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R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 xml:space="preserve"> X I</w:t>
      </w:r>
      <w:r w:rsidRPr="6696F34F">
        <w:rPr>
          <w:rFonts w:cs="Calibri"/>
          <w:vertAlign w:val="subscript"/>
        </w:rPr>
        <w:t>∆N</w:t>
      </w:r>
      <w:r w:rsidRPr="6696F34F">
        <w:rPr>
          <w:rFonts w:cs="Calibri"/>
        </w:rPr>
        <w:t xml:space="preserve"> ≤ 50V</w:t>
      </w:r>
      <w:r w:rsidR="00D914C3" w:rsidRPr="6696F34F">
        <w:rPr>
          <w:rFonts w:cs="Calibri"/>
        </w:rPr>
        <w:t>,</w:t>
      </w:r>
      <w:r w:rsidRPr="6696F34F">
        <w:rPr>
          <w:rFonts w:cs="Calibri"/>
        </w:rPr>
        <w:t xml:space="preserve"> gdzie:</w:t>
      </w:r>
    </w:p>
    <w:p w14:paraId="68880575" w14:textId="77777777" w:rsidR="001421A4" w:rsidRPr="005A4637" w:rsidRDefault="001421A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76" w14:textId="77777777" w:rsidR="001421A4" w:rsidRPr="005A4637" w:rsidRDefault="001421A4" w:rsidP="003A53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Calibri"/>
        </w:rPr>
      </w:pPr>
      <w:r w:rsidRPr="6696F34F">
        <w:rPr>
          <w:rFonts w:cs="Calibri"/>
        </w:rPr>
        <w:t>R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 xml:space="preserve"> </w:t>
      </w:r>
      <w:r w:rsidR="004B12AF" w:rsidRPr="6696F34F">
        <w:rPr>
          <w:rFonts w:cs="Calibri"/>
        </w:rPr>
        <w:t xml:space="preserve">– </w:t>
      </w:r>
      <w:r w:rsidR="007C58E2" w:rsidRPr="6696F34F">
        <w:rPr>
          <w:rFonts w:cs="Calibri"/>
        </w:rPr>
        <w:t>sum</w:t>
      </w:r>
      <w:r w:rsidR="004B12AF" w:rsidRPr="6696F34F">
        <w:rPr>
          <w:rFonts w:cs="Calibri"/>
        </w:rPr>
        <w:t>a</w:t>
      </w:r>
      <w:r w:rsidRPr="6696F34F">
        <w:rPr>
          <w:rFonts w:cs="Calibri"/>
        </w:rPr>
        <w:t xml:space="preserve"> rezystancji uziemienia i przewodu ochronnego do części przewodzących dostępnych [Ω]</w:t>
      </w:r>
    </w:p>
    <w:p w14:paraId="68880577" w14:textId="77777777" w:rsidR="003C48F5" w:rsidRPr="005A4637" w:rsidRDefault="001421A4" w:rsidP="003A53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Calibri"/>
        </w:rPr>
      </w:pPr>
      <w:r w:rsidRPr="6696F34F">
        <w:rPr>
          <w:rFonts w:cs="Calibri"/>
        </w:rPr>
        <w:t>I</w:t>
      </w:r>
      <w:r w:rsidRPr="6696F34F">
        <w:rPr>
          <w:rFonts w:cs="Calibri"/>
          <w:vertAlign w:val="subscript"/>
        </w:rPr>
        <w:t>∆N</w:t>
      </w:r>
      <w:r w:rsidRPr="6696F34F">
        <w:rPr>
          <w:rFonts w:cs="Calibri"/>
        </w:rPr>
        <w:t xml:space="preserve"> </w:t>
      </w:r>
      <w:r w:rsidR="004B12AF" w:rsidRPr="6696F34F">
        <w:rPr>
          <w:rFonts w:cs="Calibri"/>
        </w:rPr>
        <w:t xml:space="preserve">– </w:t>
      </w:r>
      <w:r w:rsidRPr="6696F34F">
        <w:rPr>
          <w:rFonts w:cs="Calibri"/>
        </w:rPr>
        <w:t>znamionowy prąd różnicowy wyłącznika [A]</w:t>
      </w:r>
    </w:p>
    <w:p w14:paraId="68880578" w14:textId="77777777" w:rsidR="001421A4" w:rsidRDefault="001421A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79" w14:textId="4E82FF0B" w:rsidR="00454054" w:rsidRPr="005A4637" w:rsidRDefault="001421A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Gdy </w:t>
      </w:r>
      <w:r w:rsidR="000137C5" w:rsidRPr="6696F34F">
        <w:rPr>
          <w:rFonts w:cs="Calibri"/>
        </w:rPr>
        <w:t xml:space="preserve">funkcję samoczynnego wyłączenia pełni </w:t>
      </w:r>
      <w:r w:rsidRPr="6696F34F">
        <w:rPr>
          <w:rFonts w:cs="Calibri"/>
        </w:rPr>
        <w:t xml:space="preserve">wyłącznik nadprądowy, </w:t>
      </w:r>
      <w:r w:rsidR="005A4637" w:rsidRPr="6696F34F">
        <w:rPr>
          <w:rFonts w:cs="Calibri"/>
        </w:rPr>
        <w:t xml:space="preserve">trzeba </w:t>
      </w:r>
      <w:r w:rsidR="008F4FE6" w:rsidRPr="6696F34F">
        <w:rPr>
          <w:rFonts w:cs="Calibri"/>
        </w:rPr>
        <w:t>skorzystać z wspomnianego wcześniej</w:t>
      </w:r>
      <w:r w:rsidR="005A4637" w:rsidRPr="6696F34F">
        <w:rPr>
          <w:rFonts w:cs="Calibri"/>
        </w:rPr>
        <w:t xml:space="preserve"> </w:t>
      </w:r>
      <w:r w:rsidR="008F4FE6" w:rsidRPr="6696F34F">
        <w:rPr>
          <w:rFonts w:cs="Calibri"/>
        </w:rPr>
        <w:t xml:space="preserve">wzoru </w:t>
      </w:r>
      <w:r w:rsidRPr="6696F34F">
        <w:rPr>
          <w:rFonts w:cs="Calibri"/>
        </w:rPr>
        <w:t>Z</w:t>
      </w:r>
      <w:r w:rsidRPr="6696F34F">
        <w:rPr>
          <w:rFonts w:cs="Calibri"/>
          <w:vertAlign w:val="subscript"/>
        </w:rPr>
        <w:t>s</w:t>
      </w:r>
      <w:r w:rsidRPr="6696F34F">
        <w:rPr>
          <w:rFonts w:cs="Calibri"/>
        </w:rPr>
        <w:t xml:space="preserve"> x I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 xml:space="preserve"> ≤ U</w:t>
      </w:r>
      <w:r w:rsidRPr="6696F34F">
        <w:rPr>
          <w:rFonts w:cs="Calibri"/>
          <w:vertAlign w:val="subscript"/>
        </w:rPr>
        <w:t>0</w:t>
      </w:r>
      <w:r w:rsidR="005A4637" w:rsidRPr="6696F34F">
        <w:rPr>
          <w:rFonts w:cs="Calibri"/>
        </w:rPr>
        <w:t xml:space="preserve">. </w:t>
      </w:r>
      <w:r w:rsidR="00CE5D65" w:rsidRPr="6696F34F">
        <w:rPr>
          <w:rFonts w:cs="Calibri"/>
        </w:rPr>
        <w:t xml:space="preserve">W tym przypadku dopuszczalny jest </w:t>
      </w:r>
      <w:r w:rsidR="00615787" w:rsidRPr="6696F34F">
        <w:rPr>
          <w:rFonts w:cs="Calibri"/>
        </w:rPr>
        <w:t xml:space="preserve">czas zadziałania 1s dla obwodów </w:t>
      </w:r>
      <w:r w:rsidR="00CE5D65" w:rsidRPr="6696F34F">
        <w:rPr>
          <w:rFonts w:cs="Calibri"/>
        </w:rPr>
        <w:t>poniżej</w:t>
      </w:r>
      <w:r w:rsidR="00615787" w:rsidRPr="6696F34F">
        <w:rPr>
          <w:rFonts w:cs="Calibri"/>
        </w:rPr>
        <w:t xml:space="preserve"> 32</w:t>
      </w:r>
      <w:r w:rsidR="3F0BF8B6" w:rsidRPr="6696F34F">
        <w:rPr>
          <w:rFonts w:cs="Calibri"/>
        </w:rPr>
        <w:t>A.</w:t>
      </w:r>
    </w:p>
    <w:p w14:paraId="6888057A" w14:textId="77777777" w:rsidR="00615787" w:rsidRDefault="00615787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7B" w14:textId="77777777" w:rsidR="003F0522" w:rsidRDefault="003F052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7C" w14:textId="525BD4A4" w:rsidR="003F0522" w:rsidRPr="003A53D8" w:rsidRDefault="003F052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FF0000"/>
        </w:rPr>
      </w:pPr>
      <w:r w:rsidRPr="6696F34F">
        <w:rPr>
          <w:rFonts w:cs="Calibri"/>
          <w:b/>
          <w:bCs/>
        </w:rPr>
        <w:t>Układ IT</w:t>
      </w:r>
      <w:r w:rsidR="003B0017">
        <w:rPr>
          <w:rFonts w:cs="Calibri"/>
          <w:b/>
          <w:bCs/>
        </w:rPr>
        <w:t xml:space="preserve"> </w:t>
      </w:r>
    </w:p>
    <w:p w14:paraId="6888057D" w14:textId="77777777" w:rsidR="003F0522" w:rsidRPr="006223C2" w:rsidRDefault="003F052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highlight w:val="yellow"/>
        </w:rPr>
      </w:pPr>
    </w:p>
    <w:p w14:paraId="73398ED8" w14:textId="77777777" w:rsidR="00FC33D8" w:rsidRPr="003A53D8" w:rsidRDefault="005A463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FF0000"/>
        </w:rPr>
      </w:pPr>
      <w:r w:rsidRPr="00FC33D8">
        <w:rPr>
          <w:rFonts w:cs="Calibri"/>
        </w:rPr>
        <w:t xml:space="preserve">W układzie IT można wykorzystać zarówno wyłącznik nadprądowy, jak i różnicowoprądowy. </w:t>
      </w:r>
      <w:r w:rsidR="004B12AF" w:rsidRPr="00FC33D8">
        <w:rPr>
          <w:rFonts w:cs="Calibri"/>
        </w:rPr>
        <w:t xml:space="preserve">Jeśli dostępne części przewodzące są połączone przewodem ochronnym i wspólnie uziemione przez ten sam układ, warunki są podobne jak dla układu TN </w:t>
      </w:r>
      <w:r w:rsidR="00293944" w:rsidRPr="00FC33D8">
        <w:rPr>
          <w:rFonts w:cs="Calibri"/>
        </w:rPr>
        <w:t xml:space="preserve">oraz </w:t>
      </w:r>
      <w:r w:rsidR="004B12AF" w:rsidRPr="00FC33D8">
        <w:rPr>
          <w:rFonts w:cs="Calibri"/>
        </w:rPr>
        <w:t>dla układu AC nie jest prowadzony przewód neutralny, to sprawdzany jest warunek:</w:t>
      </w:r>
      <w:r w:rsidR="009C0A95" w:rsidRPr="00FC33D8">
        <w:rPr>
          <w:rFonts w:cs="Calibri"/>
        </w:rPr>
        <w:t xml:space="preserve"> </w:t>
      </w:r>
    </w:p>
    <w:p w14:paraId="163585EC" w14:textId="13059448" w:rsidR="009C0A95" w:rsidRPr="004B12AF" w:rsidRDefault="009C0A95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D635682" w14:textId="58163CE9" w:rsidR="00FC33D8" w:rsidRDefault="003F052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2I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>Z</w:t>
      </w:r>
      <w:r w:rsidRPr="6696F34F">
        <w:rPr>
          <w:rFonts w:cs="Calibri"/>
          <w:vertAlign w:val="subscript"/>
        </w:rPr>
        <w:t>S</w:t>
      </w:r>
      <w:r w:rsidRPr="6696F34F">
        <w:rPr>
          <w:rFonts w:cs="Calibri"/>
        </w:rPr>
        <w:t xml:space="preserve"> ≤ </w:t>
      </w:r>
      <w:r w:rsidRPr="00FC33D8">
        <w:rPr>
          <w:rFonts w:cs="Calibri"/>
        </w:rPr>
        <w:t>U</w:t>
      </w:r>
      <w:r w:rsidR="00D36CDE" w:rsidRPr="00FC33D8">
        <w:rPr>
          <w:rFonts w:cs="Calibri"/>
        </w:rPr>
        <w:t xml:space="preserve">  </w:t>
      </w:r>
      <w:r w:rsidR="004B12AF" w:rsidRPr="00FC33D8">
        <w:rPr>
          <w:rFonts w:cs="Calibri"/>
        </w:rPr>
        <w:t>lub (</w:t>
      </w:r>
      <w:r w:rsidRPr="00FC33D8">
        <w:rPr>
          <w:rFonts w:cs="Calibri"/>
        </w:rPr>
        <w:t>jeśli przewód neutralny jest prowadzony</w:t>
      </w:r>
      <w:r w:rsidR="004B12AF" w:rsidRPr="00FC33D8">
        <w:rPr>
          <w:rFonts w:cs="Calibri"/>
        </w:rPr>
        <w:t>)</w:t>
      </w:r>
      <w:r w:rsidR="00D36CDE" w:rsidRPr="00FC33D8">
        <w:rPr>
          <w:rFonts w:cs="Calibri"/>
        </w:rPr>
        <w:t xml:space="preserve">  </w:t>
      </w:r>
    </w:p>
    <w:p w14:paraId="68880580" w14:textId="682B9DAB" w:rsidR="003F0522" w:rsidRPr="004B12AF" w:rsidRDefault="003F0522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2I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>Z</w:t>
      </w:r>
      <w:r w:rsidRPr="6696F34F">
        <w:rPr>
          <w:rFonts w:cs="Calibri"/>
          <w:vertAlign w:val="subscript"/>
        </w:rPr>
        <w:t>S</w:t>
      </w:r>
      <w:r w:rsidR="00D559F6" w:rsidRPr="6696F34F">
        <w:rPr>
          <w:rFonts w:cs="Calibri"/>
          <w:vertAlign w:val="superscript"/>
        </w:rPr>
        <w:t>’</w:t>
      </w:r>
      <w:r w:rsidRPr="6696F34F">
        <w:rPr>
          <w:rFonts w:cs="Calibri"/>
        </w:rPr>
        <w:t xml:space="preserve"> ≤ U</w:t>
      </w:r>
      <w:r w:rsidR="00D559F6" w:rsidRPr="6696F34F">
        <w:rPr>
          <w:rFonts w:cs="Calibri"/>
          <w:vertAlign w:val="subscript"/>
        </w:rPr>
        <w:t>0</w:t>
      </w:r>
      <w:r w:rsidR="00D36CDE" w:rsidRPr="6696F34F">
        <w:rPr>
          <w:rFonts w:cs="Calibri"/>
        </w:rPr>
        <w:t>,</w:t>
      </w:r>
      <w:r w:rsidR="00D559F6" w:rsidRPr="6696F34F">
        <w:rPr>
          <w:rFonts w:cs="Calibri"/>
        </w:rPr>
        <w:t xml:space="preserve"> gdzie:</w:t>
      </w:r>
    </w:p>
    <w:p w14:paraId="68880581" w14:textId="77777777" w:rsidR="00D559F6" w:rsidRPr="004B12AF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82" w14:textId="77777777" w:rsidR="00D559F6" w:rsidRPr="004B12AF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B12AF">
        <w:rPr>
          <w:rFonts w:cs="Calibri"/>
        </w:rPr>
        <w:t>U</w:t>
      </w:r>
      <w:r w:rsidRPr="004B12AF">
        <w:rPr>
          <w:rFonts w:cs="Calibri"/>
          <w:vertAlign w:val="subscript"/>
        </w:rPr>
        <w:t>0</w:t>
      </w:r>
      <w:r w:rsidRPr="004B12AF">
        <w:rPr>
          <w:rFonts w:cs="Calibri"/>
        </w:rPr>
        <w:t xml:space="preserve"> – nominalne napięcie AC między przewodem liniowym a neutralnym</w:t>
      </w:r>
    </w:p>
    <w:p w14:paraId="68880583" w14:textId="77777777" w:rsidR="00D559F6" w:rsidRPr="004B12AF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B12AF">
        <w:rPr>
          <w:rFonts w:cs="Calibri"/>
        </w:rPr>
        <w:t>U – nominalne napięcie AC między przewodami liniowymi</w:t>
      </w:r>
    </w:p>
    <w:p w14:paraId="68880584" w14:textId="77777777" w:rsidR="00D559F6" w:rsidRPr="004B12AF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B12AF">
        <w:rPr>
          <w:rFonts w:cs="Calibri"/>
        </w:rPr>
        <w:lastRenderedPageBreak/>
        <w:t>Z</w:t>
      </w:r>
      <w:r w:rsidRPr="004B12AF">
        <w:rPr>
          <w:rFonts w:cs="Calibri"/>
          <w:vertAlign w:val="subscript"/>
        </w:rPr>
        <w:t xml:space="preserve">S </w:t>
      </w:r>
      <w:r w:rsidRPr="004B12AF">
        <w:rPr>
          <w:rFonts w:cs="Calibri"/>
        </w:rPr>
        <w:t>– impedancja w [Ω] pętli zwarciowej obejmującej przewód liniowy i przewód ochronny</w:t>
      </w:r>
    </w:p>
    <w:p w14:paraId="68880585" w14:textId="77777777" w:rsidR="00D559F6" w:rsidRPr="004B12AF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B12AF">
        <w:rPr>
          <w:rFonts w:cs="Calibri"/>
        </w:rPr>
        <w:t>Z</w:t>
      </w:r>
      <w:r w:rsidRPr="004B12AF">
        <w:rPr>
          <w:rFonts w:cs="Calibri"/>
          <w:vertAlign w:val="subscript"/>
        </w:rPr>
        <w:t>S</w:t>
      </w:r>
      <w:r w:rsidRPr="004B12AF">
        <w:rPr>
          <w:rFonts w:cs="Calibri"/>
          <w:vertAlign w:val="superscript"/>
        </w:rPr>
        <w:t>’</w:t>
      </w:r>
      <w:r w:rsidRPr="004B12AF">
        <w:rPr>
          <w:rFonts w:cs="Calibri"/>
        </w:rPr>
        <w:t xml:space="preserve"> - impedancja w [Ω] pętli zwarciowej obejmującej przewód neutralny i przewód ochronny</w:t>
      </w:r>
    </w:p>
    <w:p w14:paraId="68880586" w14:textId="77777777" w:rsidR="00D559F6" w:rsidRDefault="00D559F6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B12AF">
        <w:rPr>
          <w:rFonts w:cs="Calibri"/>
        </w:rPr>
        <w:t>I</w:t>
      </w:r>
      <w:r w:rsidRPr="004B12AF">
        <w:rPr>
          <w:rFonts w:cs="Calibri"/>
          <w:vertAlign w:val="subscript"/>
        </w:rPr>
        <w:t xml:space="preserve">A </w:t>
      </w:r>
      <w:r w:rsidRPr="004B12AF">
        <w:rPr>
          <w:rFonts w:cs="Calibri"/>
        </w:rPr>
        <w:t>– prąd w [A] powodujący zadziałanie zabezpieczenia</w:t>
      </w:r>
    </w:p>
    <w:p w14:paraId="68880587" w14:textId="77777777" w:rsidR="005361DC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88" w14:textId="6C4C9FF4" w:rsidR="005361DC" w:rsidRPr="00B51EEB" w:rsidRDefault="00FD5F7D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D</w:t>
      </w:r>
      <w:r w:rsidR="005361DC" w:rsidRPr="6696F34F">
        <w:rPr>
          <w:rFonts w:cs="Calibri"/>
        </w:rPr>
        <w:t>ozwolon</w:t>
      </w:r>
      <w:r w:rsidRPr="6696F34F">
        <w:rPr>
          <w:rFonts w:cs="Calibri"/>
        </w:rPr>
        <w:t>e</w:t>
      </w:r>
      <w:r w:rsidR="005361DC" w:rsidRPr="6696F34F">
        <w:rPr>
          <w:rFonts w:cs="Calibri"/>
        </w:rPr>
        <w:t xml:space="preserve"> </w:t>
      </w:r>
      <w:r w:rsidRPr="6696F34F">
        <w:rPr>
          <w:rFonts w:cs="Calibri"/>
        </w:rPr>
        <w:t xml:space="preserve">czasy </w:t>
      </w:r>
      <w:r w:rsidR="005361DC" w:rsidRPr="6696F34F">
        <w:rPr>
          <w:rFonts w:cs="Calibri"/>
        </w:rPr>
        <w:t xml:space="preserve">zadziałania zabezpieczenia </w:t>
      </w:r>
      <w:r w:rsidRPr="6696F34F">
        <w:rPr>
          <w:rFonts w:cs="Calibri"/>
        </w:rPr>
        <w:t xml:space="preserve">są takie same jak </w:t>
      </w:r>
      <w:r w:rsidR="005361DC" w:rsidRPr="6696F34F">
        <w:rPr>
          <w:rFonts w:cs="Calibri"/>
        </w:rPr>
        <w:t xml:space="preserve">w </w:t>
      </w:r>
      <w:r w:rsidRPr="6696F34F">
        <w:rPr>
          <w:rFonts w:cs="Calibri"/>
        </w:rPr>
        <w:t xml:space="preserve">Tabeli </w:t>
      </w:r>
      <w:r w:rsidR="00D36CDE" w:rsidRPr="6696F34F">
        <w:rPr>
          <w:rFonts w:cs="Calibri"/>
        </w:rPr>
        <w:t xml:space="preserve">nr </w:t>
      </w:r>
      <w:r w:rsidR="008B7678">
        <w:rPr>
          <w:rFonts w:cs="Calibri"/>
        </w:rPr>
        <w:t>2</w:t>
      </w:r>
      <w:r w:rsidR="007D62B3" w:rsidRPr="6696F34F">
        <w:rPr>
          <w:rFonts w:cs="Calibri"/>
        </w:rPr>
        <w:t>.</w:t>
      </w:r>
    </w:p>
    <w:p w14:paraId="68880589" w14:textId="77777777" w:rsidR="005361DC" w:rsidRPr="006223C2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highlight w:val="yellow"/>
        </w:rPr>
      </w:pPr>
    </w:p>
    <w:p w14:paraId="6888058C" w14:textId="5C849CA7" w:rsidR="005361DC" w:rsidRDefault="00B51EEB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Dla uziemionych grupowo lub indywidualnie części przewodzących stosuje się warunek</w:t>
      </w:r>
      <w:r w:rsidR="00D36CDE" w:rsidRPr="6696F34F">
        <w:rPr>
          <w:rFonts w:cs="Calibri"/>
        </w:rPr>
        <w:t xml:space="preserve"> </w:t>
      </w:r>
      <w:r w:rsidR="005361DC" w:rsidRPr="6696F34F">
        <w:rPr>
          <w:rFonts w:cs="Calibri"/>
        </w:rPr>
        <w:t>R</w:t>
      </w:r>
      <w:r w:rsidR="005361DC" w:rsidRPr="6696F34F">
        <w:rPr>
          <w:rFonts w:cs="Calibri"/>
          <w:vertAlign w:val="subscript"/>
        </w:rPr>
        <w:t>A</w:t>
      </w:r>
      <w:r w:rsidR="005361DC" w:rsidRPr="6696F34F">
        <w:rPr>
          <w:rFonts w:cs="Calibri"/>
        </w:rPr>
        <w:t xml:space="preserve"> x I</w:t>
      </w:r>
      <w:r w:rsidR="005361DC" w:rsidRPr="6696F34F">
        <w:rPr>
          <w:rFonts w:cs="Calibri"/>
          <w:vertAlign w:val="subscript"/>
        </w:rPr>
        <w:t>A</w:t>
      </w:r>
      <w:r w:rsidR="005361DC" w:rsidRPr="6696F34F">
        <w:rPr>
          <w:rFonts w:cs="Calibri"/>
        </w:rPr>
        <w:t xml:space="preserve"> ≤ 50V</w:t>
      </w:r>
      <w:r w:rsidR="00D36CDE" w:rsidRPr="6696F34F">
        <w:rPr>
          <w:rFonts w:cs="Calibri"/>
        </w:rPr>
        <w:t>,</w:t>
      </w:r>
      <w:r w:rsidR="005361DC" w:rsidRPr="6696F34F">
        <w:rPr>
          <w:rFonts w:cs="Calibri"/>
        </w:rPr>
        <w:t xml:space="preserve"> gdzie:</w:t>
      </w:r>
    </w:p>
    <w:p w14:paraId="6888058D" w14:textId="77777777" w:rsidR="005361DC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8E" w14:textId="52A156FD" w:rsidR="00D559F6" w:rsidRPr="00B51EEB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51EEB">
        <w:rPr>
          <w:rFonts w:cs="Calibri"/>
        </w:rPr>
        <w:t>R</w:t>
      </w:r>
      <w:r w:rsidRPr="00B51EEB">
        <w:rPr>
          <w:rFonts w:cs="Calibri"/>
          <w:vertAlign w:val="subscript"/>
        </w:rPr>
        <w:t>A</w:t>
      </w:r>
      <w:r w:rsidRPr="00B51EEB">
        <w:rPr>
          <w:rFonts w:cs="Calibri"/>
        </w:rPr>
        <w:t xml:space="preserve"> </w:t>
      </w:r>
      <w:r w:rsidR="00B51EEB" w:rsidRPr="00B51EEB">
        <w:rPr>
          <w:rFonts w:cs="Calibri"/>
        </w:rPr>
        <w:t xml:space="preserve">– </w:t>
      </w:r>
      <w:r w:rsidRPr="00B51EEB">
        <w:rPr>
          <w:rFonts w:cs="Calibri"/>
        </w:rPr>
        <w:t>sum</w:t>
      </w:r>
      <w:r w:rsidR="00B51EEB" w:rsidRPr="00B51EEB">
        <w:rPr>
          <w:rFonts w:cs="Calibri"/>
        </w:rPr>
        <w:t>a</w:t>
      </w:r>
      <w:r w:rsidRPr="00B51EEB">
        <w:rPr>
          <w:rFonts w:cs="Calibri"/>
        </w:rPr>
        <w:t xml:space="preserve"> rezystancji w [Ω] uziomu i przewodu ochronnego do części przewodząc</w:t>
      </w:r>
      <w:r w:rsidRPr="00FC33D8">
        <w:rPr>
          <w:rFonts w:cs="Calibri"/>
        </w:rPr>
        <w:t xml:space="preserve">ych </w:t>
      </w:r>
    </w:p>
    <w:p w14:paraId="6888058F" w14:textId="29695227" w:rsidR="005361DC" w:rsidRPr="00B51EEB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I</w:t>
      </w:r>
      <w:r w:rsidRPr="6696F34F">
        <w:rPr>
          <w:rFonts w:cs="Calibri"/>
          <w:vertAlign w:val="subscript"/>
        </w:rPr>
        <w:t>A</w:t>
      </w:r>
      <w:r w:rsidRPr="6696F34F">
        <w:rPr>
          <w:rFonts w:cs="Calibri"/>
        </w:rPr>
        <w:t xml:space="preserve"> – prąd w [A] powodujący samoczynne wyłączenie przez urządzenie zabezpieczające w czasie zgodnym z Tabelą </w:t>
      </w:r>
      <w:r w:rsidR="00D36CDE" w:rsidRPr="6696F34F">
        <w:rPr>
          <w:rFonts w:cs="Calibri"/>
        </w:rPr>
        <w:t>n</w:t>
      </w:r>
      <w:r w:rsidRPr="6696F34F">
        <w:rPr>
          <w:rFonts w:cs="Calibri"/>
        </w:rPr>
        <w:t>r 1</w:t>
      </w:r>
    </w:p>
    <w:p w14:paraId="68880590" w14:textId="77777777" w:rsidR="005361DC" w:rsidRPr="006223C2" w:rsidRDefault="005361DC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highlight w:val="yellow"/>
        </w:rPr>
      </w:pPr>
    </w:p>
    <w:p w14:paraId="68880591" w14:textId="3B835495" w:rsidR="00B51EEB" w:rsidRPr="00B51EEB" w:rsidRDefault="00B51EEB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W przypadku, gdy testowana jest skuteczność samoczynnego wyłączenia realizowanego przez wyłącznik różnicowoprądowy, może być </w:t>
      </w:r>
      <w:r w:rsidR="00D11DBF" w:rsidRPr="6696F34F">
        <w:rPr>
          <w:rFonts w:cs="Calibri"/>
        </w:rPr>
        <w:t xml:space="preserve">konieczne </w:t>
      </w:r>
      <w:r w:rsidRPr="6696F34F">
        <w:rPr>
          <w:rFonts w:cs="Calibri"/>
        </w:rPr>
        <w:t>przeprowadzenie testu prądem równym (co najmniej 5I</w:t>
      </w:r>
      <w:r w:rsidRPr="6696F34F">
        <w:rPr>
          <w:rFonts w:cs="Calibri"/>
          <w:vertAlign w:val="subscript"/>
        </w:rPr>
        <w:t>∆N</w:t>
      </w:r>
      <w:r w:rsidRPr="6696F34F">
        <w:rPr>
          <w:rFonts w:cs="Calibri"/>
        </w:rPr>
        <w:t>).</w:t>
      </w:r>
    </w:p>
    <w:p w14:paraId="29646D68" w14:textId="77777777" w:rsidR="008B7678" w:rsidRDefault="008B767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</w:p>
    <w:p w14:paraId="6888059D" w14:textId="4A5E9419" w:rsidR="00827798" w:rsidRPr="00827798" w:rsidRDefault="00B54C6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 w:rsidRPr="6696F34F">
        <w:rPr>
          <w:rFonts w:cs="Calibri"/>
          <w:b/>
          <w:bCs/>
          <w:sz w:val="28"/>
          <w:szCs w:val="28"/>
        </w:rPr>
        <w:t xml:space="preserve">Kontrola </w:t>
      </w:r>
      <w:r w:rsidR="00827798" w:rsidRPr="6696F34F">
        <w:rPr>
          <w:rFonts w:cs="Calibri"/>
          <w:b/>
          <w:bCs/>
          <w:sz w:val="28"/>
          <w:szCs w:val="28"/>
        </w:rPr>
        <w:t>członu AFD</w:t>
      </w:r>
    </w:p>
    <w:p w14:paraId="6888059E" w14:textId="77777777" w:rsidR="00827798" w:rsidRPr="00827798" w:rsidRDefault="0082779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9F" w14:textId="430D241B" w:rsidR="00827798" w:rsidRDefault="0082779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>Najnowsze wydanie normy PN-HD 60364-6 nie uwzględnia sprawdz</w:t>
      </w:r>
      <w:r w:rsidR="00DA1F8E" w:rsidRPr="6696F34F">
        <w:rPr>
          <w:rFonts w:cs="Calibri"/>
        </w:rPr>
        <w:t>e</w:t>
      </w:r>
      <w:r w:rsidRPr="6696F34F">
        <w:rPr>
          <w:rFonts w:cs="Calibri"/>
        </w:rPr>
        <w:t>nia samego członu AFD</w:t>
      </w:r>
      <w:r w:rsidR="009E2EA3" w:rsidRPr="6696F34F">
        <w:rPr>
          <w:rFonts w:cs="Calibri"/>
        </w:rPr>
        <w:t>. D</w:t>
      </w:r>
      <w:r w:rsidRPr="6696F34F">
        <w:rPr>
          <w:rFonts w:cs="Calibri"/>
        </w:rPr>
        <w:t>latego trzeba zastosować się do instrukcji montażowych producenta. Norma IEC 62606 wymaga, aby funkcjonalność urządzenia była monitorowana automatycznie</w:t>
      </w:r>
      <w:r w:rsidR="00D2194A" w:rsidRPr="6696F34F">
        <w:rPr>
          <w:rFonts w:cs="Calibri"/>
        </w:rPr>
        <w:t xml:space="preserve"> przez sam aparat</w:t>
      </w:r>
      <w:r w:rsidRPr="6696F34F">
        <w:rPr>
          <w:rFonts w:cs="Calibri"/>
        </w:rPr>
        <w:t xml:space="preserve">. </w:t>
      </w:r>
      <w:r w:rsidR="00AD695D" w:rsidRPr="6696F34F">
        <w:rPr>
          <w:rFonts w:cs="Calibri"/>
        </w:rPr>
        <w:t>Przeprowadzenie testu członu różnicowego oraz członu AFD umożliwia d</w:t>
      </w:r>
      <w:r w:rsidRPr="6696F34F">
        <w:rPr>
          <w:rFonts w:cs="Calibri"/>
        </w:rPr>
        <w:t xml:space="preserve">odatkowo </w:t>
      </w:r>
      <w:r w:rsidR="00AD695D" w:rsidRPr="6696F34F">
        <w:rPr>
          <w:rFonts w:cs="Calibri"/>
        </w:rPr>
        <w:t xml:space="preserve">przycisk TEST, który znajduje się </w:t>
      </w:r>
      <w:r w:rsidRPr="6696F34F">
        <w:rPr>
          <w:rFonts w:cs="Calibri"/>
        </w:rPr>
        <w:t>na czole aparatu</w:t>
      </w:r>
      <w:r w:rsidR="00AD695D" w:rsidRPr="6696F34F">
        <w:rPr>
          <w:rFonts w:cs="Calibri"/>
        </w:rPr>
        <w:t>. D</w:t>
      </w:r>
      <w:r w:rsidR="00DA1F8E" w:rsidRPr="6696F34F">
        <w:rPr>
          <w:rFonts w:cs="Calibri"/>
        </w:rPr>
        <w:t xml:space="preserve">otyczy to wykonań zespolonych z wyłącznikiem różnicowoprądowym i z członem nadprądowym. </w:t>
      </w:r>
    </w:p>
    <w:p w14:paraId="688805A0" w14:textId="77777777" w:rsidR="00827798" w:rsidRDefault="00827798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A1" w14:textId="129311C9" w:rsidR="00827798" w:rsidRDefault="00DA1F8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Warunki laboratoryjne do badania skuteczności urządzeń AFFD, których nie można odtworzyć podczas okresowych przeglądów instalacji elektrycznych, określa norma IEC 62606. Opisany jest w niej generator łuków elektrycznych pozwalający zasymulować sytuację awaryjną. </w:t>
      </w:r>
      <w:r w:rsidR="00D41EBF" w:rsidRPr="6696F34F">
        <w:rPr>
          <w:rFonts w:cs="Calibri"/>
        </w:rPr>
        <w:t xml:space="preserve">Zdarza się, że producenci przygotowują specjalistyczne walizki testowe, aby zaprezentować zalety danego rozwiązania, jednak ta forma badania skuteczności nie jest sankcjonowana </w:t>
      </w:r>
      <w:r w:rsidR="00505AE4" w:rsidRPr="6696F34F">
        <w:rPr>
          <w:rFonts w:cs="Calibri"/>
        </w:rPr>
        <w:t xml:space="preserve">przez normy ani </w:t>
      </w:r>
      <w:r w:rsidR="00D41EBF" w:rsidRPr="6696F34F">
        <w:rPr>
          <w:rFonts w:cs="Calibri"/>
        </w:rPr>
        <w:t xml:space="preserve">uznawana w świetle polskich </w:t>
      </w:r>
      <w:r w:rsidR="00505AE4" w:rsidRPr="6696F34F">
        <w:rPr>
          <w:rFonts w:cs="Calibri"/>
        </w:rPr>
        <w:t xml:space="preserve">i </w:t>
      </w:r>
      <w:r w:rsidR="00D41EBF" w:rsidRPr="6696F34F">
        <w:rPr>
          <w:rFonts w:cs="Calibri"/>
        </w:rPr>
        <w:t xml:space="preserve">europejskich przepisów. </w:t>
      </w:r>
    </w:p>
    <w:p w14:paraId="688805A2" w14:textId="200A2EB7" w:rsidR="00D41EBF" w:rsidRDefault="00D41EB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1AEE385" w14:textId="172722AB" w:rsidR="00BF77BF" w:rsidRDefault="00BF77BF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noProof/>
        </w:rPr>
        <w:lastRenderedPageBreak/>
        <w:drawing>
          <wp:inline distT="0" distB="0" distL="0" distR="0" wp14:anchorId="7904943E" wp14:editId="0E94B971">
            <wp:extent cx="5760720" cy="43205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805A3" w14:textId="7AB981BB" w:rsidR="00FE6A93" w:rsidRPr="00FC33D8" w:rsidRDefault="00FE6A93" w:rsidP="003A53D8">
      <w:pPr>
        <w:autoSpaceDE w:val="0"/>
        <w:autoSpaceDN w:val="0"/>
        <w:adjustRightInd w:val="0"/>
        <w:spacing w:before="120" w:after="0" w:line="240" w:lineRule="auto"/>
        <w:jc w:val="center"/>
        <w:rPr>
          <w:rFonts w:cs="Calibri"/>
        </w:rPr>
      </w:pPr>
      <w:r w:rsidRPr="003A53D8">
        <w:rPr>
          <w:rFonts w:cs="Calibri"/>
          <w:bCs/>
        </w:rPr>
        <w:t>Rys.3 Przykładowa</w:t>
      </w:r>
      <w:r w:rsidRPr="001D3021">
        <w:rPr>
          <w:rFonts w:cs="Calibri"/>
        </w:rPr>
        <w:t xml:space="preserve"> </w:t>
      </w:r>
      <w:r w:rsidRPr="00FC33D8">
        <w:rPr>
          <w:rFonts w:cs="Calibri"/>
        </w:rPr>
        <w:t xml:space="preserve">walizka testowa </w:t>
      </w:r>
      <w:r w:rsidR="00FC33D8" w:rsidRPr="003A53D8">
        <w:rPr>
          <w:rFonts w:cs="Calibri"/>
        </w:rPr>
        <w:t>Eaton</w:t>
      </w:r>
    </w:p>
    <w:p w14:paraId="688805A4" w14:textId="77777777" w:rsidR="00FE6A93" w:rsidRDefault="00FE6A93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88805A6" w14:textId="5E504D5B" w:rsidR="001B7434" w:rsidRPr="00D41EBF" w:rsidRDefault="001B743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</w:p>
    <w:p w14:paraId="688805A7" w14:textId="603BDA84" w:rsidR="00D41EBF" w:rsidRPr="00D41EBF" w:rsidRDefault="00D41EBF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6696F34F">
        <w:rPr>
          <w:rFonts w:cs="Calibri"/>
        </w:rPr>
        <w:t xml:space="preserve">W Polsce nie </w:t>
      </w:r>
      <w:r w:rsidR="009E7BF1" w:rsidRPr="6696F34F">
        <w:rPr>
          <w:rFonts w:cs="Calibri"/>
        </w:rPr>
        <w:t xml:space="preserve">ma wymogu </w:t>
      </w:r>
      <w:r w:rsidRPr="6696F34F">
        <w:rPr>
          <w:rFonts w:cs="Calibri"/>
        </w:rPr>
        <w:t xml:space="preserve">korzystania z AFDD, jak w niektórych krajach Unii Europejskiej, jednak stosowanie </w:t>
      </w:r>
      <w:r w:rsidR="00DD0A68" w:rsidRPr="6696F34F">
        <w:rPr>
          <w:rFonts w:cs="Calibri"/>
        </w:rPr>
        <w:t xml:space="preserve">tego typu </w:t>
      </w:r>
      <w:r w:rsidRPr="6696F34F">
        <w:rPr>
          <w:rFonts w:cs="Calibri"/>
        </w:rPr>
        <w:t xml:space="preserve">urządzeń jest rekomendowane. </w:t>
      </w:r>
      <w:r w:rsidR="009F5864" w:rsidRPr="6696F34F">
        <w:rPr>
          <w:rFonts w:cs="Calibri"/>
        </w:rPr>
        <w:t>W</w:t>
      </w:r>
      <w:r w:rsidRPr="6696F34F">
        <w:rPr>
          <w:rFonts w:cs="Calibri"/>
        </w:rPr>
        <w:t xml:space="preserve">raz z popularyzacją </w:t>
      </w:r>
      <w:r w:rsidR="004B7781" w:rsidRPr="6696F34F">
        <w:rPr>
          <w:rFonts w:cs="Calibri"/>
        </w:rPr>
        <w:t xml:space="preserve">tych rozwiązań </w:t>
      </w:r>
      <w:r w:rsidRPr="6696F34F">
        <w:rPr>
          <w:rFonts w:cs="Calibri"/>
        </w:rPr>
        <w:t xml:space="preserve">w naszym kraju pojawią się bardziej szczegółowe regulacje testu samego członu AFD oraz </w:t>
      </w:r>
      <w:r w:rsidR="00522CE6" w:rsidRPr="6696F34F">
        <w:rPr>
          <w:rFonts w:cs="Calibri"/>
        </w:rPr>
        <w:t xml:space="preserve">specjalne </w:t>
      </w:r>
      <w:r w:rsidRPr="6696F34F">
        <w:rPr>
          <w:rFonts w:cs="Calibri"/>
        </w:rPr>
        <w:t xml:space="preserve">mierniki, </w:t>
      </w:r>
      <w:r w:rsidR="00522CE6" w:rsidRPr="6696F34F">
        <w:rPr>
          <w:rFonts w:cs="Calibri"/>
        </w:rPr>
        <w:t xml:space="preserve">które będą pełniły </w:t>
      </w:r>
      <w:r w:rsidRPr="6696F34F">
        <w:rPr>
          <w:rFonts w:cs="Calibri"/>
        </w:rPr>
        <w:t xml:space="preserve">funkcję przenośnych generatorów łuków elektrycznych. Warto pamiętać, że </w:t>
      </w:r>
      <w:r w:rsidR="00595A12" w:rsidRPr="6696F34F">
        <w:rPr>
          <w:rFonts w:cs="Calibri"/>
        </w:rPr>
        <w:t xml:space="preserve">metody testu </w:t>
      </w:r>
      <w:r w:rsidR="003C0672" w:rsidRPr="6696F34F">
        <w:rPr>
          <w:rFonts w:cs="Calibri"/>
        </w:rPr>
        <w:t xml:space="preserve">urządzeń AFDD </w:t>
      </w:r>
      <w:r w:rsidR="004A437B" w:rsidRPr="6696F34F">
        <w:rPr>
          <w:rFonts w:cs="Calibri"/>
        </w:rPr>
        <w:t>trzeba dopasować do</w:t>
      </w:r>
      <w:r w:rsidR="00595A12" w:rsidRPr="6696F34F">
        <w:rPr>
          <w:rFonts w:cs="Calibri"/>
        </w:rPr>
        <w:t xml:space="preserve"> </w:t>
      </w:r>
      <w:r w:rsidR="004A437B" w:rsidRPr="6696F34F">
        <w:rPr>
          <w:rFonts w:cs="Calibri"/>
        </w:rPr>
        <w:t>konkretnego wariantu</w:t>
      </w:r>
      <w:r w:rsidRPr="6696F34F">
        <w:rPr>
          <w:rFonts w:cs="Calibri"/>
        </w:rPr>
        <w:t xml:space="preserve"> </w:t>
      </w:r>
      <w:r w:rsidR="004A437B" w:rsidRPr="6696F34F">
        <w:rPr>
          <w:rFonts w:cs="Calibri"/>
        </w:rPr>
        <w:t>aparatu</w:t>
      </w:r>
      <w:r w:rsidRPr="6696F34F">
        <w:rPr>
          <w:rFonts w:cs="Calibri"/>
        </w:rPr>
        <w:t>.</w:t>
      </w:r>
    </w:p>
    <w:p w14:paraId="688805A8" w14:textId="163B9F88" w:rsidR="001B7434" w:rsidRDefault="001B7434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3978A98" w14:textId="77777777" w:rsidR="00FC33D8" w:rsidRDefault="007A43B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3A53D8">
        <w:rPr>
          <w:rFonts w:cs="Calibri"/>
          <w:bCs/>
        </w:rPr>
        <w:t>Autor:</w:t>
      </w:r>
      <w:r>
        <w:rPr>
          <w:rFonts w:cs="Calibri"/>
        </w:rPr>
        <w:t xml:space="preserve"> Bartłomiej Jaworski</w:t>
      </w:r>
    </w:p>
    <w:p w14:paraId="4890038C" w14:textId="39B2D50D" w:rsidR="007A43BE" w:rsidRDefault="007A43BE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Senior Product Manager</w:t>
      </w:r>
      <w:r w:rsidR="00FC33D8">
        <w:rPr>
          <w:rFonts w:cs="Calibri"/>
        </w:rPr>
        <w:t>, Eaton</w:t>
      </w:r>
    </w:p>
    <w:p w14:paraId="688805B3" w14:textId="44EC6AAE" w:rsidR="00527C67" w:rsidRDefault="00527C67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CC56CF4" w14:textId="08643248" w:rsidR="00632D29" w:rsidRPr="00527C67" w:rsidRDefault="00632D29" w:rsidP="003A53D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Przejdź do produktów Eaton:</w:t>
      </w:r>
    </w:p>
    <w:p w14:paraId="688805B4" w14:textId="77777777" w:rsidR="000E23FC" w:rsidRPr="00527C67" w:rsidRDefault="000E23FC" w:rsidP="003A53D8">
      <w:pPr>
        <w:autoSpaceDE w:val="0"/>
        <w:autoSpaceDN w:val="0"/>
        <w:adjustRightInd w:val="0"/>
        <w:spacing w:after="0" w:line="240" w:lineRule="auto"/>
        <w:jc w:val="both"/>
      </w:pPr>
    </w:p>
    <w:sectPr w:rsidR="000E23FC" w:rsidRPr="00527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E1364" w14:textId="77777777" w:rsidR="00D67CE9" w:rsidRDefault="00D67CE9" w:rsidP="00454054">
      <w:pPr>
        <w:spacing w:after="0" w:line="240" w:lineRule="auto"/>
      </w:pPr>
      <w:r>
        <w:separator/>
      </w:r>
    </w:p>
  </w:endnote>
  <w:endnote w:type="continuationSeparator" w:id="0">
    <w:p w14:paraId="1C96EF49" w14:textId="77777777" w:rsidR="00D67CE9" w:rsidRDefault="00D67CE9" w:rsidP="0045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DE3A6" w14:textId="77777777" w:rsidR="00D67CE9" w:rsidRDefault="00D67CE9" w:rsidP="00454054">
      <w:pPr>
        <w:spacing w:after="0" w:line="240" w:lineRule="auto"/>
      </w:pPr>
      <w:r>
        <w:separator/>
      </w:r>
    </w:p>
  </w:footnote>
  <w:footnote w:type="continuationSeparator" w:id="0">
    <w:p w14:paraId="0FD0ADBD" w14:textId="77777777" w:rsidR="00D67CE9" w:rsidRDefault="00D67CE9" w:rsidP="00454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301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AA271E"/>
    <w:multiLevelType w:val="multilevel"/>
    <w:tmpl w:val="109EB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369F2B4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F227DD"/>
    <w:multiLevelType w:val="hybridMultilevel"/>
    <w:tmpl w:val="F5EE2B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B2772"/>
    <w:multiLevelType w:val="hybridMultilevel"/>
    <w:tmpl w:val="EE5CF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D7502"/>
    <w:multiLevelType w:val="hybridMultilevel"/>
    <w:tmpl w:val="3E5E1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B1FC3"/>
    <w:multiLevelType w:val="hybridMultilevel"/>
    <w:tmpl w:val="4CBAF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20EF"/>
    <w:multiLevelType w:val="hybridMultilevel"/>
    <w:tmpl w:val="3EDE4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13090"/>
    <w:multiLevelType w:val="hybridMultilevel"/>
    <w:tmpl w:val="92B84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84DE0"/>
    <w:multiLevelType w:val="hybridMultilevel"/>
    <w:tmpl w:val="C532B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F12EA"/>
    <w:multiLevelType w:val="hybridMultilevel"/>
    <w:tmpl w:val="9DA8D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A06D2"/>
    <w:multiLevelType w:val="hybridMultilevel"/>
    <w:tmpl w:val="C220EC40"/>
    <w:lvl w:ilvl="0" w:tplc="116A5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66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61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4B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2C6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8C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63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66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4E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141"/>
    <w:multiLevelType w:val="hybridMultilevel"/>
    <w:tmpl w:val="4306B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B44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6B24E5"/>
    <w:multiLevelType w:val="hybridMultilevel"/>
    <w:tmpl w:val="1A8A82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A2268"/>
    <w:multiLevelType w:val="hybridMultilevel"/>
    <w:tmpl w:val="2EACCC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E7F2A"/>
    <w:multiLevelType w:val="hybridMultilevel"/>
    <w:tmpl w:val="84481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9"/>
  </w:num>
  <w:num w:numId="9">
    <w:abstractNumId w:val="13"/>
  </w:num>
  <w:num w:numId="10">
    <w:abstractNumId w:val="2"/>
  </w:num>
  <w:num w:numId="11">
    <w:abstractNumId w:val="4"/>
  </w:num>
  <w:num w:numId="12">
    <w:abstractNumId w:val="15"/>
  </w:num>
  <w:num w:numId="13">
    <w:abstractNumId w:val="12"/>
  </w:num>
  <w:num w:numId="14">
    <w:abstractNumId w:val="1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FC"/>
    <w:rsid w:val="00005628"/>
    <w:rsid w:val="000137C5"/>
    <w:rsid w:val="0002744E"/>
    <w:rsid w:val="000417FC"/>
    <w:rsid w:val="000438B6"/>
    <w:rsid w:val="0008033A"/>
    <w:rsid w:val="000D27EC"/>
    <w:rsid w:val="000E23FC"/>
    <w:rsid w:val="000F229C"/>
    <w:rsid w:val="001421A4"/>
    <w:rsid w:val="00154B03"/>
    <w:rsid w:val="0017333F"/>
    <w:rsid w:val="00185CFE"/>
    <w:rsid w:val="00196E24"/>
    <w:rsid w:val="001B6210"/>
    <w:rsid w:val="001B7434"/>
    <w:rsid w:val="001D3021"/>
    <w:rsid w:val="002209EB"/>
    <w:rsid w:val="00222756"/>
    <w:rsid w:val="0022435C"/>
    <w:rsid w:val="00236CEC"/>
    <w:rsid w:val="002745E9"/>
    <w:rsid w:val="00293944"/>
    <w:rsid w:val="002C5713"/>
    <w:rsid w:val="002F3B63"/>
    <w:rsid w:val="00306EF1"/>
    <w:rsid w:val="00335598"/>
    <w:rsid w:val="00372F94"/>
    <w:rsid w:val="00380C24"/>
    <w:rsid w:val="003A53D8"/>
    <w:rsid w:val="003B0017"/>
    <w:rsid w:val="003C0672"/>
    <w:rsid w:val="003C48F5"/>
    <w:rsid w:val="003F0522"/>
    <w:rsid w:val="004109AF"/>
    <w:rsid w:val="004149A4"/>
    <w:rsid w:val="00415E48"/>
    <w:rsid w:val="00454054"/>
    <w:rsid w:val="00457D96"/>
    <w:rsid w:val="00461785"/>
    <w:rsid w:val="004637F5"/>
    <w:rsid w:val="004A437B"/>
    <w:rsid w:val="004B12AF"/>
    <w:rsid w:val="004B7781"/>
    <w:rsid w:val="004F62BA"/>
    <w:rsid w:val="00505AE4"/>
    <w:rsid w:val="00510863"/>
    <w:rsid w:val="00522CE6"/>
    <w:rsid w:val="00527C67"/>
    <w:rsid w:val="005301D2"/>
    <w:rsid w:val="005361DC"/>
    <w:rsid w:val="0054478C"/>
    <w:rsid w:val="005920A0"/>
    <w:rsid w:val="005929A9"/>
    <w:rsid w:val="00595A12"/>
    <w:rsid w:val="005A3E32"/>
    <w:rsid w:val="005A4637"/>
    <w:rsid w:val="005A5564"/>
    <w:rsid w:val="005D312C"/>
    <w:rsid w:val="005E0CD6"/>
    <w:rsid w:val="00615787"/>
    <w:rsid w:val="006223C2"/>
    <w:rsid w:val="00632D29"/>
    <w:rsid w:val="0064234A"/>
    <w:rsid w:val="0065432C"/>
    <w:rsid w:val="00670176"/>
    <w:rsid w:val="006822C4"/>
    <w:rsid w:val="006B6167"/>
    <w:rsid w:val="006B670D"/>
    <w:rsid w:val="006C3F4C"/>
    <w:rsid w:val="006C4B3E"/>
    <w:rsid w:val="006D39AB"/>
    <w:rsid w:val="00710BDF"/>
    <w:rsid w:val="007811F9"/>
    <w:rsid w:val="007A43BE"/>
    <w:rsid w:val="007C58E2"/>
    <w:rsid w:val="007D622B"/>
    <w:rsid w:val="007D62B3"/>
    <w:rsid w:val="007D7435"/>
    <w:rsid w:val="007E228A"/>
    <w:rsid w:val="007E7828"/>
    <w:rsid w:val="007F1384"/>
    <w:rsid w:val="008001AE"/>
    <w:rsid w:val="008110CE"/>
    <w:rsid w:val="008131F7"/>
    <w:rsid w:val="00821802"/>
    <w:rsid w:val="008255AE"/>
    <w:rsid w:val="00827798"/>
    <w:rsid w:val="0084653E"/>
    <w:rsid w:val="0087657D"/>
    <w:rsid w:val="008846C0"/>
    <w:rsid w:val="008A4615"/>
    <w:rsid w:val="008B7678"/>
    <w:rsid w:val="008E5254"/>
    <w:rsid w:val="008F4FE6"/>
    <w:rsid w:val="008F784C"/>
    <w:rsid w:val="00920F81"/>
    <w:rsid w:val="0092389C"/>
    <w:rsid w:val="0095329C"/>
    <w:rsid w:val="009624C9"/>
    <w:rsid w:val="009630E1"/>
    <w:rsid w:val="00984127"/>
    <w:rsid w:val="00985568"/>
    <w:rsid w:val="009934A1"/>
    <w:rsid w:val="009958A8"/>
    <w:rsid w:val="009B5896"/>
    <w:rsid w:val="009C0A95"/>
    <w:rsid w:val="009E2EA3"/>
    <w:rsid w:val="009E59FA"/>
    <w:rsid w:val="009E7BF1"/>
    <w:rsid w:val="009F5864"/>
    <w:rsid w:val="00A04E7D"/>
    <w:rsid w:val="00A07CB9"/>
    <w:rsid w:val="00A34E37"/>
    <w:rsid w:val="00A61DEF"/>
    <w:rsid w:val="00AB1AA6"/>
    <w:rsid w:val="00AD695D"/>
    <w:rsid w:val="00AD7783"/>
    <w:rsid w:val="00AE46F7"/>
    <w:rsid w:val="00B12AB9"/>
    <w:rsid w:val="00B31082"/>
    <w:rsid w:val="00B31D60"/>
    <w:rsid w:val="00B352D9"/>
    <w:rsid w:val="00B448B0"/>
    <w:rsid w:val="00B51EEB"/>
    <w:rsid w:val="00B54C64"/>
    <w:rsid w:val="00B60264"/>
    <w:rsid w:val="00B60357"/>
    <w:rsid w:val="00BD5286"/>
    <w:rsid w:val="00BF1357"/>
    <w:rsid w:val="00BF77BF"/>
    <w:rsid w:val="00C23A1E"/>
    <w:rsid w:val="00C722CD"/>
    <w:rsid w:val="00C72898"/>
    <w:rsid w:val="00C937DC"/>
    <w:rsid w:val="00CA1E2F"/>
    <w:rsid w:val="00CB173C"/>
    <w:rsid w:val="00CC7E38"/>
    <w:rsid w:val="00CD2EAA"/>
    <w:rsid w:val="00CE5D65"/>
    <w:rsid w:val="00D11DBF"/>
    <w:rsid w:val="00D12D29"/>
    <w:rsid w:val="00D2194A"/>
    <w:rsid w:val="00D36CDE"/>
    <w:rsid w:val="00D41EBF"/>
    <w:rsid w:val="00D5556E"/>
    <w:rsid w:val="00D559F6"/>
    <w:rsid w:val="00D64A6E"/>
    <w:rsid w:val="00D67CE9"/>
    <w:rsid w:val="00D74C57"/>
    <w:rsid w:val="00D914C3"/>
    <w:rsid w:val="00D97EF3"/>
    <w:rsid w:val="00DA0963"/>
    <w:rsid w:val="00DA1F8E"/>
    <w:rsid w:val="00DA2BC7"/>
    <w:rsid w:val="00DC145A"/>
    <w:rsid w:val="00DD0A68"/>
    <w:rsid w:val="00E0648F"/>
    <w:rsid w:val="00E125C6"/>
    <w:rsid w:val="00E131D0"/>
    <w:rsid w:val="00E34508"/>
    <w:rsid w:val="00E437AF"/>
    <w:rsid w:val="00E44A5A"/>
    <w:rsid w:val="00E535CF"/>
    <w:rsid w:val="00EB78B2"/>
    <w:rsid w:val="00ED64C0"/>
    <w:rsid w:val="00F12A99"/>
    <w:rsid w:val="00F33479"/>
    <w:rsid w:val="00F44586"/>
    <w:rsid w:val="00F54698"/>
    <w:rsid w:val="00F64E3E"/>
    <w:rsid w:val="00F8696B"/>
    <w:rsid w:val="00F90482"/>
    <w:rsid w:val="00FA1CD4"/>
    <w:rsid w:val="00FC33D8"/>
    <w:rsid w:val="00FD5F7D"/>
    <w:rsid w:val="00FE5981"/>
    <w:rsid w:val="00FE5D0F"/>
    <w:rsid w:val="00FE6A93"/>
    <w:rsid w:val="01D7446F"/>
    <w:rsid w:val="17F343E7"/>
    <w:rsid w:val="1C37CFF9"/>
    <w:rsid w:val="1E7A416F"/>
    <w:rsid w:val="2776F5D0"/>
    <w:rsid w:val="297EF926"/>
    <w:rsid w:val="2C5C67AC"/>
    <w:rsid w:val="2EB7ABD7"/>
    <w:rsid w:val="30515129"/>
    <w:rsid w:val="3170E2AE"/>
    <w:rsid w:val="3F0BF8B6"/>
    <w:rsid w:val="43A7033B"/>
    <w:rsid w:val="6496E817"/>
    <w:rsid w:val="6696F34F"/>
    <w:rsid w:val="6FE64DA1"/>
    <w:rsid w:val="773C9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051B"/>
  <w15:chartTrackingRefBased/>
  <w15:docId w15:val="{2F82E91B-65C9-48C5-A02B-9F35070E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AF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4B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5405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54054"/>
    <w:rPr>
      <w:lang w:eastAsia="en-US"/>
    </w:rPr>
  </w:style>
  <w:style w:type="character" w:styleId="EndnoteReference">
    <w:name w:val="endnote reference"/>
    <w:uiPriority w:val="99"/>
    <w:semiHidden/>
    <w:unhideWhenUsed/>
    <w:rsid w:val="00454054"/>
    <w:rPr>
      <w:vertAlign w:val="superscript"/>
    </w:rPr>
  </w:style>
  <w:style w:type="character" w:styleId="Hyperlink">
    <w:name w:val="Hyperlink"/>
    <w:uiPriority w:val="99"/>
    <w:unhideWhenUsed/>
    <w:rsid w:val="00527C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27C67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4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5E9"/>
    <w:rPr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5E9"/>
    <w:rPr>
      <w:b/>
      <w:bCs/>
      <w:lang w:val="pl-PL" w:eastAsia="en-US"/>
    </w:rPr>
  </w:style>
  <w:style w:type="table" w:styleId="GridTable5Dark-Accent5">
    <w:name w:val="Grid Table 5 Dark Accent 5"/>
    <w:basedOn w:val="TableNormal"/>
    <w:uiPriority w:val="50"/>
    <w:rsid w:val="003B00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3362-7D66-49AB-99AC-3545C1C8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1519</Words>
  <Characters>9120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Eaton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Jaworski, Bartlomiej</dc:creator>
  <cp:keywords/>
  <cp:lastModifiedBy>Jankowska, Karolina</cp:lastModifiedBy>
  <cp:revision>95</cp:revision>
  <dcterms:created xsi:type="dcterms:W3CDTF">2021-03-30T13:48:00Z</dcterms:created>
  <dcterms:modified xsi:type="dcterms:W3CDTF">2021-11-26T14:48:00Z</dcterms:modified>
</cp:coreProperties>
</file>